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4"/>
          <w:spacing w:val="40"/>
        </w:rPr>
        <w:t>ANNEXE  ·  CAS 4 FORET INDUSTRIEL  ·  ANALYSE CONCURRENTIELLE</w:t>
      </w:r>
    </w:p>
    <w:p>
      <w:pPr>
        <w:spacing w:before="0" w:after="20"/>
      </w:pPr>
      <w:r>
        <w:rPr>
          <w:i/>
          <w:color w:val="8A9AA2"/>
          <w:sz w:val="14"/>
        </w:rPr>
        <w:t>Recto — à remettre avec le sujet, une seule feuille, deux faces</w:t>
      </w:r>
    </w:p>
    <w:p>
      <w:pPr>
        <w:spacing w:before="20" w:after="60"/>
      </w:pPr>
      <w:r>
        <w:rPr>
          <w:b/>
          <w:color w:val="14384A"/>
          <w:sz w:val="28"/>
        </w:rPr>
        <w:t>Qui vend du foret HSS Ø 8 autour de Vannes</w:t>
      </w:r>
    </w:p>
    <w:p>
      <w:pPr>
        <w:spacing w:after="80" w:before="0"/>
        <w:jc w:val="both"/>
      </w:pPr>
      <w:r>
        <w:rPr>
          <w:b w:val="0"/>
          <w:i w:val="0"/>
          <w:sz w:val="17"/>
        </w:rPr>
        <w:t xml:space="preserve">Six offres, un seul produit apparent. </w:t>
      </w:r>
      <w:r>
        <w:rPr>
          <w:b/>
          <w:i w:val="0"/>
          <w:sz w:val="17"/>
        </w:rPr>
        <w:t>Tous les prix sont donnés en HT et en TTC</w:t>
      </w:r>
      <w:r>
        <w:rPr>
          <w:b w:val="0"/>
          <w:i w:val="0"/>
          <w:sz w:val="17"/>
        </w:rPr>
        <w:t xml:space="preserve"> : le professionnel raisonne en HT, parce que c'est son coût réel — la TVA se récupère. Mais il doit </w:t>
      </w:r>
      <w:r>
        <w:rPr>
          <w:b/>
          <w:i w:val="0"/>
          <w:sz w:val="17"/>
        </w:rPr>
        <w:t>l'avancer</w:t>
      </w:r>
      <w:r>
        <w:rPr>
          <w:b w:val="0"/>
          <w:i w:val="0"/>
          <w:sz w:val="17"/>
        </w:rPr>
        <w:t>, et c'est pour ça que le TTC compte aussi.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1304"/>
        <w:gridCol w:w="1247"/>
        <w:gridCol w:w="1191"/>
        <w:gridCol w:w="1191"/>
        <w:gridCol w:w="1304"/>
        <w:gridCol w:w="1247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130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PONANT</w:t>
              <w:br/>
              <w:t>(nous)</w:t>
            </w:r>
          </w:p>
        </w:tc>
        <w:tc>
          <w:tcPr>
            <w:tcW w:type="dxa" w:w="124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Point.P</w:t>
            </w:r>
          </w:p>
        </w:tc>
        <w:tc>
          <w:tcPr>
            <w:tcW w:type="dxa" w:w="119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Chausson</w:t>
            </w:r>
          </w:p>
        </w:tc>
        <w:tc>
          <w:tcPr>
            <w:tcW w:type="dxa" w:w="119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Gedimat</w:t>
            </w:r>
          </w:p>
        </w:tc>
        <w:tc>
          <w:tcPr>
            <w:tcW w:type="dxa" w:w="130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Leroy Merlin</w:t>
            </w:r>
          </w:p>
        </w:tc>
        <w:tc>
          <w:tcPr>
            <w:tcW w:type="dxa" w:w="124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Würth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Type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 + outillage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Grande surface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Fournisseur industriel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Produit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HSS-G, 45 trous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 basique, 12 trous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 basique, 12 trous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 basique, 12 trous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 basique, 10 trous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HSS-G, 40 trous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d'appel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6,80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3,20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3,40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3,10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2,90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8,40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d'appel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8,16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3,84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4,08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3,72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3,48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10,08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comparable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6,80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3,20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3,40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3,10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2,90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8,40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comparable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8,16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3,84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4,08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3,72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3,48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10,08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Délai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stock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48 h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 jours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 jours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immédiat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24 h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Reprise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 coffret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sous contrat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Panier 40 forets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272,00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128,00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136,00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124,00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116,00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336,00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Panier 40 forets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326,40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153,60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163,20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148,80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139,20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403,20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14384A"/>
            </w:tcBorders>
            <w:shd w:val="clear" w:color="auto" w:fill="EEF3F5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14384A"/>
                <w:sz w:val="15"/>
                <w:spacing w:val="30"/>
              </w:rPr>
              <w:t>POURQUOI LE PRO PARLE EN HT (ET POURQUOI DONNER LE TTC)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Le professionnel </w:t>
            </w:r>
            <w:r>
              <w:rPr>
                <w:b/>
                <w:i w:val="0"/>
                <w:sz w:val="15"/>
              </w:rPr>
              <w:t>récupère la TVA</w:t>
            </w:r>
            <w:r>
              <w:rPr>
                <w:b w:val="0"/>
                <w:i w:val="0"/>
                <w:sz w:val="15"/>
              </w:rPr>
              <w:t xml:space="preserve"> : son coût réel, c'est le HT. Comparer deux offres en TTC entre pros n'a donc pas de sens.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Mais il </w:t>
            </w:r>
            <w:r>
              <w:rPr>
                <w:b/>
                <w:i w:val="0"/>
                <w:sz w:val="15"/>
              </w:rPr>
              <w:t>avance la TVA</w:t>
            </w:r>
            <w:r>
              <w:rPr>
                <w:b w:val="0"/>
                <w:i w:val="0"/>
                <w:sz w:val="15"/>
              </w:rPr>
              <w:t xml:space="preserve"> jusqu'à sa déclaration : sur un panier de 326,40 € TTC, il sort 54,40 € de trésorerie qu'il ne récupère qu'un mois plus tard.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Et surtout : </w:t>
            </w:r>
            <w:r>
              <w:rPr>
                <w:b/>
                <w:i w:val="0"/>
                <w:sz w:val="15"/>
              </w:rPr>
              <w:t>la grande surface affiche en TTC, le négoce annonce en HT.</w:t>
            </w:r>
            <w:r>
              <w:rPr>
                <w:b w:val="0"/>
                <w:i w:val="0"/>
                <w:sz w:val="15"/>
              </w:rPr>
              <w:t xml:space="preserve"> C'est là que naît la confusion du client.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CE QUE LE TABLEAU DIT VRAIMENT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Au prix unitaire, nous sommes les plus chers</w:t>
            </w:r>
            <w:r>
              <w:rPr>
                <w:b w:val="0"/>
                <w:i w:val="0"/>
                <w:sz w:val="15"/>
              </w:rPr>
              <w:t xml:space="preserve"> : 6,80 € contre 2,90 € chez Leroy. C'est vrai, et il ne faut pas le cacher.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Au coût du trou, nous sommes les moins chers</w:t>
            </w:r>
            <w:r>
              <w:rPr>
                <w:b w:val="0"/>
                <w:i w:val="0"/>
                <w:sz w:val="15"/>
              </w:rPr>
              <w:t xml:space="preserve"> : 0,151 € contre 0,267 € chez Point.P et 0,290 € chez Leroy. Sur 40 forets, cela fait </w:t>
            </w:r>
            <w:r>
              <w:rPr>
                <w:b/>
                <w:i w:val="0"/>
                <w:sz w:val="15"/>
              </w:rPr>
              <w:t>1 800 trous</w:t>
            </w:r>
            <w:r>
              <w:rPr>
                <w:b w:val="0"/>
                <w:i w:val="0"/>
                <w:sz w:val="15"/>
              </w:rPr>
              <w:t xml:space="preserve"> : 272 € chez nous, 480 € chez Point.P, 522 € chez Leroy.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C'est le seul raisonnement qui tient devant un industriel</w:t>
            </w:r>
            <w:r>
              <w:rPr>
                <w:b w:val="0"/>
                <w:i w:val="0"/>
                <w:sz w:val="15"/>
              </w:rPr>
              <w:t xml:space="preserve"> : il n'achète pas un foret, il achète des trous. Le bon indicateur n'est pas le prix d'achat, c'est le coût par trou et le nombre d'arrêts machine.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LA MÉTHODE, EN TROIS TEMPS — À REFAIRE SUR N'IMPORTE QUEL MATÉRIAU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1. Tout ramener dans la même unité.</w:t>
            </w:r>
            <w:r>
              <w:rPr>
                <w:b w:val="0"/>
                <w:i w:val="0"/>
                <w:sz w:val="15"/>
              </w:rPr>
              <w:t xml:space="preserve"> Un prix HT ne se compare pas à un prix TTC. On convertit avant de comparer, sinon on compare deux choses qui n'existent pas l'une pour l'autre.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2. Comparer à caractéristique égale.</w:t>
            </w:r>
            <w:r>
              <w:rPr>
                <w:b w:val="0"/>
                <w:i w:val="0"/>
                <w:sz w:val="15"/>
              </w:rPr>
              <w:t xml:space="preserve"> R et densité, calibrage, durée de vie : le produit d'appel n'est pas le produit vendu. C'est toujours sur la ligne « prix comparable » que se joue la vraie discussion.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3. Calculer le panier complet.</w:t>
            </w:r>
            <w:r>
              <w:rPr>
                <w:b w:val="0"/>
                <w:i w:val="0"/>
                <w:sz w:val="15"/>
              </w:rPr>
              <w:t xml:space="preserve"> Le prix à l'unité ne dit rien tant qu'il n'est pas multiplié par la quantité réelle. C'est le panier, et lui seul, que le client paie.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0"/>
      </w:pPr>
      <w:r>
        <w:rPr>
          <w:b w:val="0"/>
          <w:i/>
          <w:color w:val="6B7C85"/>
          <w:sz w:val="14"/>
        </w:rPr>
        <w:t>Prix relevés le 15 octobre 2026 sur le bassin de Vannes. Cas pédagogique : les montants sont des données de dossier, cohérentes entre elles, pas des relevés officiels. Panier calculé sur 40 forets, TVA 20 %.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4"/>
          <w:spacing w:val="40"/>
        </w:rPr>
        <w:t>ANNEXE  ·  CAS 4 FORET INDUSTRIEL  ·  ANALYSE CONCURRENTIELLE</w:t>
      </w:r>
    </w:p>
    <w:p>
      <w:pPr>
        <w:spacing w:before="0" w:after="20"/>
      </w:pPr>
      <w:r>
        <w:rPr>
          <w:i/>
          <w:color w:val="8A9AA2"/>
          <w:sz w:val="14"/>
        </w:rPr>
        <w:t>Verso — lecture directe / indirecte et ce qu'on répond</w:t>
      </w:r>
    </w:p>
    <w:p>
      <w:pPr>
        <w:spacing w:before="20" w:after="60"/>
      </w:pPr>
      <w:r>
        <w:rPr>
          <w:b/>
          <w:color w:val="14384A"/>
          <w:sz w:val="28"/>
        </w:rPr>
        <w:t>Concurrence directe et concurrence indirecte</w:t>
      </w:r>
    </w:p>
    <w:p>
      <w:pPr>
        <w:spacing w:after="60" w:before="0"/>
        <w:jc w:val="both"/>
      </w:pPr>
      <w:r>
        <w:rPr>
          <w:b/>
          <w:i w:val="0"/>
          <w:sz w:val="17"/>
        </w:rPr>
        <w:t>Directe</w:t>
      </w:r>
      <w:r>
        <w:rPr>
          <w:b w:val="0"/>
          <w:i w:val="0"/>
          <w:sz w:val="17"/>
        </w:rPr>
        <w:t xml:space="preserve"> : même produit, même client, même besoin. Elle se combat sur le prix pro, le stock et le délai. </w:t>
      </w:r>
      <w:r>
        <w:rPr>
          <w:b/>
          <w:i w:val="0"/>
          <w:sz w:val="17"/>
        </w:rPr>
        <w:t>Indirecte</w:t>
      </w:r>
      <w:r>
        <w:rPr>
          <w:b w:val="0"/>
          <w:i w:val="0"/>
          <w:sz w:val="17"/>
        </w:rPr>
        <w:t xml:space="preserve"> : autre produit pour le même client, ou même produit pour un autre client. Elle se combat sur la </w:t>
      </w:r>
      <w:r>
        <w:rPr>
          <w:b/>
          <w:i w:val="0"/>
          <w:sz w:val="17"/>
        </w:rPr>
        <w:t>qualité réelle</w:t>
      </w:r>
      <w:r>
        <w:rPr>
          <w:b w:val="0"/>
          <w:i w:val="0"/>
          <w:sz w:val="17"/>
        </w:rPr>
        <w:t xml:space="preserve"> et le </w:t>
      </w:r>
      <w:r>
        <w:rPr>
          <w:b/>
          <w:i w:val="0"/>
          <w:sz w:val="17"/>
        </w:rPr>
        <w:t>service</w:t>
      </w:r>
      <w:r>
        <w:rPr>
          <w:b w:val="0"/>
          <w:i w:val="0"/>
          <w:sz w:val="17"/>
        </w:rPr>
        <w:t xml:space="preserve"> — jamais sur le prix.</w:t>
      </w:r>
    </w:p>
    <w:p>
      <w:pPr>
        <w:keepNext/>
        <w:spacing w:before="120" w:after="40"/>
      </w:pPr>
      <w:r>
        <w:rPr>
          <w:b/>
          <w:color w:val="14384A"/>
          <w:sz w:val="14"/>
          <w:spacing w:val="30"/>
        </w:rPr>
        <w:t>LES DEUX TERRAINS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3061"/>
        <w:gridCol w:w="3288"/>
        <w:gridCol w:w="3628"/>
      </w:tblGrid>
      <w:tr>
        <w:trPr>
          <w:tblHeader/>
          <w:cantSplit/>
        </w:trPr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Concurrence directe</w:t>
            </w:r>
          </w:p>
        </w:tc>
        <w:tc>
          <w:tcPr>
            <w:tcW w:type="dxa" w:w="328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Concurrence indirecte</w:t>
            </w:r>
          </w:p>
        </w:tc>
        <w:tc>
          <w:tcPr>
            <w:tcW w:type="dxa" w:w="362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Ce que ça change dans la réponse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Point.P</w:t>
            </w:r>
            <w:r>
              <w:rPr>
                <w:b w:val="0"/>
                <w:i w:val="0"/>
                <w:sz w:val="14"/>
              </w:rPr>
              <w:t xml:space="preserve">, </w:t>
            </w:r>
            <w:r>
              <w:rPr>
                <w:b/>
                <w:i w:val="0"/>
                <w:sz w:val="14"/>
              </w:rPr>
              <w:t>Chausson</w:t>
            </w:r>
            <w:r>
              <w:rPr>
                <w:b w:val="0"/>
                <w:i w:val="0"/>
                <w:sz w:val="14"/>
              </w:rPr>
              <w:t xml:space="preserve">, </w:t>
            </w:r>
            <w:r>
              <w:rPr>
                <w:b/>
                <w:i w:val="0"/>
                <w:sz w:val="14"/>
              </w:rPr>
              <w:t>Gedimat</w:t>
            </w:r>
            <w:r>
              <w:rPr>
                <w:b w:val="0"/>
                <w:i w:val="0"/>
                <w:sz w:val="14"/>
              </w:rPr>
              <w:t xml:space="preserve"> — négoces outillage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Leroy Merlin</w:t>
            </w:r>
            <w:r>
              <w:rPr>
                <w:b w:val="0"/>
                <w:i w:val="0"/>
                <w:sz w:val="14"/>
              </w:rPr>
              <w:t xml:space="preserve"> — grande surface, </w:t>
            </w:r>
            <w:r>
              <w:rPr>
                <w:b/>
                <w:i w:val="0"/>
                <w:sz w:val="14"/>
              </w:rPr>
              <w:t>Würth</w:t>
            </w:r>
            <w:r>
              <w:rPr>
                <w:b w:val="0"/>
                <w:i w:val="0"/>
                <w:sz w:val="14"/>
              </w:rPr>
              <w:t xml:space="preserve"> — fournisseur industriel en contrat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En direct : </w:t>
            </w:r>
            <w:r>
              <w:rPr>
                <w:b/>
                <w:i w:val="0"/>
                <w:sz w:val="14"/>
              </w:rPr>
              <w:t>coût au trou</w:t>
            </w:r>
            <w:r>
              <w:rPr>
                <w:b w:val="0"/>
                <w:i w:val="0"/>
                <w:sz w:val="14"/>
              </w:rPr>
              <w:t xml:space="preserve">. En indirect : </w:t>
            </w:r>
            <w:r>
              <w:rPr>
                <w:b/>
                <w:i w:val="0"/>
                <w:sz w:val="14"/>
              </w:rPr>
              <w:t>le contrat de gestion de stock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Même foret, même besoin : la comparaison est légitime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Foret d'entrée de gamme, 10 à 12 trous : la comparaison est </w:t>
            </w:r>
            <w:r>
              <w:rPr>
                <w:b/>
                <w:i w:val="0"/>
                <w:sz w:val="14"/>
              </w:rPr>
              <w:t>biaisée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On ne dit pas « c'est plus cher » : on dit </w:t>
            </w:r>
            <w:r>
              <w:rPr>
                <w:b/>
                <w:i w:val="0"/>
                <w:sz w:val="14"/>
              </w:rPr>
              <w:t>« ça fait 12 trous, pas 45 »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Pure player en ligne</w:t>
            </w:r>
            <w:r>
              <w:rPr>
                <w:b w:val="0"/>
                <w:i w:val="0"/>
                <w:sz w:val="14"/>
              </w:rPr>
              <w:t xml:space="preserve"> : même référence, mais 10 jours et pas de réassort d'urgence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Substitution</w:t>
            </w:r>
            <w:r>
              <w:rPr>
                <w:b w:val="0"/>
                <w:i w:val="0"/>
                <w:sz w:val="14"/>
              </w:rPr>
              <w:t xml:space="preserve"> : foret carbure, foret étagé, perçage à la fraise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En ligne : </w:t>
            </w:r>
            <w:r>
              <w:rPr>
                <w:b/>
                <w:i w:val="0"/>
                <w:sz w:val="14"/>
              </w:rPr>
              <w:t>délai et arrêt machine</w:t>
            </w:r>
            <w:r>
              <w:rPr>
                <w:b w:val="0"/>
                <w:i w:val="0"/>
                <w:sz w:val="14"/>
              </w:rPr>
              <w:t xml:space="preserve">. En substitution : on </w:t>
            </w:r>
            <w:r>
              <w:rPr>
                <w:b/>
                <w:i w:val="0"/>
                <w:sz w:val="14"/>
              </w:rPr>
              <w:t>repose la question de l'usage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40"/>
      </w:pPr>
      <w:r>
        <w:rPr>
          <w:b/>
          <w:color w:val="14384A"/>
          <w:sz w:val="14"/>
          <w:spacing w:val="30"/>
        </w:rPr>
        <w:t>CE QU'ON OPPOSE À CHACUN, EN UNE PHRASE ET UN CHIFFRE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2835"/>
        <w:gridCol w:w="5329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Enseigne</w:t>
            </w:r>
          </w:p>
        </w:tc>
        <w:tc>
          <w:tcPr>
            <w:tcW w:type="dxa" w:w="283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Sa force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Notre réponse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prix, 2,90 €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10 trous par foret, soit 0,29 € le trou. Sur vos 1 800 trous : 522 €, contre 272 € chez moi.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réseau et la livraison 48 h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12 trous par foret, 0,267 € le trou. Et il vous en faut 150 pour faire ce que je fais avec 40.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Chausson, Gedimat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proximité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Même calcul : 0,283 et 0,258 € le trou, contre 0,151 € chez moi.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Würth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contrat de gestion de stock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Leur prix est à 8,40, donc 0,21 € le trou. Je suis à 0,151, et je livre en 24 h sans contrat.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En ligne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 catalogue, 2,60 €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10 jours de délai. Sur une ligne à l'arrêt, 10 jours coûtent bien plus que 100 € de forets. »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TROIS PHRASES À RETENIR POUR L'ENTRETIEN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Vous n'achetez pas un foret, vous achetez des trous.</w:t>
            </w:r>
            <w:r>
              <w:rPr>
                <w:b w:val="0"/>
                <w:i w:val="0"/>
                <w:sz w:val="16"/>
              </w:rPr>
              <w:t xml:space="preserve"> » — puis on donne le coût au trou.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40 forets chez moi, 150 chez eux.</w:t>
            </w:r>
            <w:r>
              <w:rPr>
                <w:b w:val="0"/>
                <w:i w:val="0"/>
                <w:sz w:val="16"/>
              </w:rPr>
              <w:t xml:space="preserve"> » — puis on pose le calcul sur la table.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Ce que je vous vends, c'est la ligne qui ne s'arrête pas.</w:t>
            </w:r>
            <w:r>
              <w:rPr>
                <w:b w:val="0"/>
                <w:i w:val="0"/>
                <w:sz w:val="16"/>
              </w:rPr>
              <w:t xml:space="preserve"> » — puis le stock et le délai.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 PIÈGE DE CETTE ANNEXE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Elle ne sert </w:t>
            </w:r>
            <w:r>
              <w:rPr>
                <w:b/>
                <w:i w:val="0"/>
                <w:sz w:val="16"/>
              </w:rPr>
              <w:t>pas</w:t>
            </w:r>
            <w:r>
              <w:rPr>
                <w:b w:val="0"/>
                <w:i w:val="0"/>
                <w:sz w:val="16"/>
              </w:rPr>
              <w:t xml:space="preserve"> à dénigrer un confrère devant le client : un artisan qui y achète le samedi n'aime pas qu'on lui dise qu'il achète de la mauvaise qualité.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Elle sert à </w:t>
            </w:r>
            <w:r>
              <w:rPr>
                <w:b/>
                <w:i w:val="0"/>
                <w:sz w:val="16"/>
              </w:rPr>
              <w:t>poser un chiffre</w:t>
            </w:r>
            <w:r>
              <w:rPr>
                <w:b w:val="0"/>
                <w:i w:val="0"/>
                <w:sz w:val="16"/>
              </w:rPr>
              <w:t xml:space="preserve"> quand le client affirme un prix : « sur le même produit, voilà ce que ça donne ».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1906" w:h="16838"/>
      <w:pgMar w:top="680" w:right="737" w:bottom="624" w:left="73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4 foret industriel · annexe concurrence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