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CAS 3 MONOMUR</w:t>
      </w:r>
    </w:p>
    <w:p>
      <w:pPr>
        <w:spacing w:before="0" w:after="40"/>
      </w:pPr>
      <w:r>
        <w:rPr>
          <w:b/>
          <w:color w:val="14384A"/>
          <w:sz w:val="34"/>
        </w:rPr>
        <w:t>Corrigé formateur — les trois variantes</w:t>
      </w:r>
    </w:p>
    <w:p>
      <w:pPr>
        <w:spacing w:after="40" w:before="0"/>
      </w:pPr>
      <w:r>
        <w:rPr>
          <w:b w:val="0"/>
          <w:i/>
          <w:color w:val="5A6B74"/>
          <w:sz w:val="17"/>
        </w:rPr>
        <w:t xml:space="preserve">Document réservé au formateur. Il contient les </w:t>
      </w:r>
      <w:r>
        <w:rPr>
          <w:b/>
          <w:i/>
          <w:color w:val="5A6B74"/>
          <w:sz w:val="17"/>
        </w:rPr>
        <w:t>trois grilles d'analyse</w:t>
      </w:r>
      <w:r>
        <w:rPr>
          <w:b w:val="0"/>
          <w:i/>
          <w:color w:val="5A6B74"/>
          <w:sz w:val="17"/>
        </w:rPr>
        <w:t xml:space="preserve"> (une par variante, identiques), puis les corrigés : chiffres justes, étapes attendues, réponses fautives, risques et remédiation.</w:t>
      </w:r>
    </w:p>
    <w:p>
      <w:pPr>
        <w:pStyle w:val="Heading2"/>
      </w:pPr>
      <w:r>
        <w:t>Les trois grilles d'analyse</w:t>
      </w:r>
    </w:p>
    <w:p>
      <w:pPr>
        <w:keepNext/>
        <w:spacing w:before="80" w:after="20"/>
      </w:pPr>
      <w:r>
        <w:rPr>
          <w:b/>
          <w:color w:val="14384A"/>
          <w:sz w:val="17"/>
        </w:rPr>
        <w:t>Variante 1 — le prix</w:t>
      </w:r>
      <w:r>
        <w:rPr>
          <w:i/>
          <w:color w:val="8A9AA2"/>
          <w:sz w:val="14"/>
        </w:rPr>
        <w:t xml:space="preserve">      Candidat : ____________   Date : ____ / 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041"/>
        <w:gridCol w:w="4989"/>
        <w:gridCol w:w="737"/>
        <w:gridCol w:w="1077"/>
        <w:gridCol w:w="1134"/>
      </w:tblGrid>
      <w:tr>
        <w:trPr>
          <w:tblHeader/>
          <w:cantSplit/>
        </w:trPr>
        <w:tc>
          <w:tcPr>
            <w:tcW w:type="dxa" w:w="204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98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73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107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113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Calculs justes, aucun chiffre inventé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80" w:after="20"/>
      </w:pPr>
      <w:r>
        <w:rPr>
          <w:b/>
          <w:color w:val="14384A"/>
          <w:sz w:val="17"/>
        </w:rPr>
        <w:t>Variante 2 — le délai</w:t>
      </w:r>
      <w:r>
        <w:rPr>
          <w:i/>
          <w:color w:val="8A9AA2"/>
          <w:sz w:val="14"/>
        </w:rPr>
        <w:t xml:space="preserve">      Candidat : ____________   Date : ____ / 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041"/>
        <w:gridCol w:w="4989"/>
        <w:gridCol w:w="737"/>
        <w:gridCol w:w="1077"/>
        <w:gridCol w:w="1134"/>
      </w:tblGrid>
      <w:tr>
        <w:trPr>
          <w:tblHeader/>
          <w:cantSplit/>
        </w:trPr>
        <w:tc>
          <w:tcPr>
            <w:tcW w:type="dxa" w:w="204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98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73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107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113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Calculs justes, aucun chiffre inventé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80" w:after="20"/>
      </w:pPr>
      <w:r>
        <w:rPr>
          <w:b/>
          <w:color w:val="14384A"/>
          <w:sz w:val="17"/>
        </w:rPr>
        <w:t>Variante 3 — le risque</w:t>
      </w:r>
      <w:r>
        <w:rPr>
          <w:i/>
          <w:color w:val="8A9AA2"/>
          <w:sz w:val="14"/>
        </w:rPr>
        <w:t xml:space="preserve">      Candidat : ____________   Date : ____ / 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041"/>
        <w:gridCol w:w="4989"/>
        <w:gridCol w:w="737"/>
        <w:gridCol w:w="1077"/>
        <w:gridCol w:w="1134"/>
      </w:tblGrid>
      <w:tr>
        <w:trPr>
          <w:tblHeader/>
          <w:cantSplit/>
        </w:trPr>
        <w:tc>
          <w:tcPr>
            <w:tcW w:type="dxa" w:w="204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98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73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107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113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Calculs justes, aucun chiffre inventé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spacing w:after="40"/>
      </w:pPr>
      <w:r>
        <w:rPr>
          <w:b w:val="0"/>
          <w:i/>
          <w:color w:val="6B7C85"/>
          <w:sz w:val="15"/>
        </w:rPr>
        <w:t>Une seule grille pour les trois variantes : seuls les attendus changent, pas les critères. Total sur 20.</w:t>
      </w:r>
    </w:p>
    <w:p>
      <w:pPr>
        <w:keepNext/>
        <w:pageBreakBefore/>
        <w:spacing w:before="40" w:after="20"/>
      </w:pPr>
      <w:r>
        <w:rPr>
          <w:b/>
          <w:color w:val="B4522C"/>
          <w:sz w:val="15"/>
          <w:spacing w:val="40"/>
        </w:rPr>
        <w:t>CORRIGÉ</w:t>
      </w:r>
    </w:p>
    <w:p>
      <w:pPr>
        <w:pStyle w:val="Heading1"/>
        <w:pBdr>
          <w:bottom w:val="single" w:sz="10" w:space="5" w:color="14384A"/>
        </w:pBdr>
      </w:pPr>
      <w:r>
        <w:t>Les chiffres du dossier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3175"/>
        <w:gridCol w:w="4195"/>
        <w:gridCol w:w="2608"/>
      </w:tblGrid>
      <w:tr>
        <w:trPr>
          <w:tblHeader/>
          <w:cantSplit/>
        </w:trPr>
        <w:tc>
          <w:tcPr>
            <w:tcW w:type="dxa" w:w="3175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qu'il faut trouver</w:t>
            </w:r>
          </w:p>
        </w:tc>
        <w:tc>
          <w:tcPr>
            <w:tcW w:type="dxa" w:w="4195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Calcul</w:t>
            </w:r>
          </w:p>
        </w:tc>
        <w:tc>
          <w:tcPr>
            <w:tcW w:type="dxa" w:w="260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Résultat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Briques au m²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12,5 briques par m² de mur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12,5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Besoin brut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90 m² × 12,5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1 125 briques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Avec 3 % de chutes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1 125 × 1,03 = 1 158,75 → arrondi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1 200 briques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Palettes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1 200 ÷ 60 briques par palette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20 palettes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Surface couverte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20 × 4,80 m²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96,00 m²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Prix unitaire après remise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4,60 × 0,90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4,14 € HT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Prix TTC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4,14 × 1,20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4,97 € TTC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Total PONANT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1 200 × 4,14 = 4 968,00 HT → × 1,20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5 961,60 € TTC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Total Leroy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1 200 × 3,85 = 4 620,00 HT → × 1,20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5 544,00 € TTC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Surcoût réel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4 968,00 − 4 620,00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348,00 € HT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Journée de maçon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8 h × 55 €/h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440 € — 1,5 jour = 660 €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Remise maximale du dépôt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plafond du chef de dépôt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3 %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40" w:after="20"/>
      </w:pPr>
      <w:r>
        <w:rPr>
          <w:b/>
          <w:color w:val="B4522C"/>
          <w:sz w:val="15"/>
          <w:spacing w:val="40"/>
        </w:rPr>
        <w:t>CORRIGÉ</w:t>
      </w:r>
    </w:p>
    <w:p>
      <w:pPr>
        <w:pStyle w:val="Heading1"/>
        <w:pBdr>
          <w:bottom w:val="single" w:sz="10" w:space="5" w:color="14384A"/>
        </w:pBdr>
      </w:pPr>
      <w:r>
        <w:t>Variante 1 — Le prix : « Leroy me fait 3,85 € la brique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5443"/>
        <w:gridCol w:w="3061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Étape</w:t>
            </w:r>
          </w:p>
        </w:tc>
        <w:tc>
          <w:tcPr>
            <w:tcW w:type="dxa" w:w="5443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qui est attendu</w:t>
            </w:r>
          </w:p>
        </w:tc>
        <w:tc>
          <w:tcPr>
            <w:tcW w:type="dxa" w:w="306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qui est fautif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Accueil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348 € d'écart sur 90 m², je comprends. Asseyez-vous, je vous montre le calcul.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Notre brique est meilleure » sans preuve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Reformulation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Vous avez besoin de 20 palettes, et ce qui vous bloque c'est 0,29 € par brique.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Comparer au prix unitaire sans passer au m²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Argumentation (CAP)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La nôtre est rectifiée : joint de 2 mm. La leur, joint de 10 mm à la chaux. 1,5 jour de pose en moins, c'est 660 €.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S'aligner sur 3,85, ou dire que la leur est mauvaise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Conclusion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On part sur 20 palettes, livraison mardi 8 h ?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Je vous rappelle »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pageBreakBefore/>
        <w:spacing w:before="40" w:after="20"/>
      </w:pPr>
      <w:r>
        <w:rPr>
          <w:b/>
          <w:color w:val="B4522C"/>
          <w:sz w:val="15"/>
          <w:spacing w:val="40"/>
        </w:rPr>
        <w:t>CORRIGÉ</w:t>
      </w:r>
    </w:p>
    <w:p>
      <w:pPr>
        <w:pStyle w:val="Heading1"/>
        <w:pBdr>
          <w:bottom w:val="single" w:sz="10" w:space="5" w:color="14384A"/>
        </w:pBdr>
      </w:pPr>
      <w:r>
        <w:t>Variante 2 — Le délai : « il me faut les 20 palettes lundi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5443"/>
        <w:gridCol w:w="3061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Étape</w:t>
            </w:r>
          </w:p>
        </w:tc>
        <w:tc>
          <w:tcPr>
            <w:tcW w:type="dxa" w:w="5443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qui est attendu</w:t>
            </w:r>
          </w:p>
        </w:tc>
        <w:tc>
          <w:tcPr>
            <w:tcW w:type="dxa" w:w="306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qui est fautif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Accueil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Si vous décalez, votre équipe tourne à vide. Je regarde ce que je peux tenir.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Lundi, impossible » sans solution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Qualification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Il vous faut de quoi monter lundi, ou les 20 palettes tout de suite ?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Traiter la demande littérale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Solution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12 palettes de Vannes lundi, 5 de Lorient mardi, 3 en réassort jeudi.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Promettre 20 palettes lundi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Conclusion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Je note 12 lundi et 8 mardi sur le bon.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Laisser le client découvrir le manque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pageBreakBefore/>
        <w:spacing w:before="40" w:after="20"/>
      </w:pPr>
      <w:r>
        <w:rPr>
          <w:b/>
          <w:color w:val="B4522C"/>
          <w:sz w:val="15"/>
          <w:spacing w:val="40"/>
        </w:rPr>
        <w:t>CORRIGÉ</w:t>
      </w:r>
    </w:p>
    <w:p>
      <w:pPr>
        <w:pStyle w:val="Heading1"/>
        <w:pBdr>
          <w:bottom w:val="single" w:sz="10" w:space="5" w:color="14384A"/>
        </w:pBdr>
      </w:pPr>
      <w:r>
        <w:t>Variante 3 — Le risque : « 20 palettes et 300 briques d'angle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5443"/>
        <w:gridCol w:w="3061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Étape</w:t>
            </w:r>
          </w:p>
        </w:tc>
        <w:tc>
          <w:tcPr>
            <w:tcW w:type="dxa" w:w="5443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qui est attendu</w:t>
            </w:r>
          </w:p>
        </w:tc>
        <w:tc>
          <w:tcPr>
            <w:tcW w:type="dxa" w:w="306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qui est fautif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Accueil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20 palettes et des angles, je note. Je vérifie votre compte avant de vous répondre.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Accepter 45 jours sans vérifier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Risque client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Votre encours est à 9 200 sur 10 000 : il me reste 800 €.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Ne pas vérifier l'encours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Risque affaire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Les angles sont fabriqués pour vous : ils ne se revendent pas. Il me faut un acompte.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Engager 1 380 € de fabrication sur un encours tendu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Conclusion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Le monomur sur votre encours, les angles avec 690 € d'acompte.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Mélanger les deux lignes sur un seul bon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pStyle w:val="Heading1"/>
        <w:pageBreakBefore/>
        <w:pBdr>
          <w:bottom w:val="single" w:sz="10" w:space="5" w:color="14384A"/>
        </w:pBdr>
      </w:pPr>
      <w:r>
        <w:t>Les deux risques de la variante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5102"/>
        <w:gridCol w:w="3628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Risque</w:t>
            </w:r>
          </w:p>
        </w:tc>
        <w:tc>
          <w:tcPr>
            <w:tcW w:type="dxa" w:w="5102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Les indices du sujet</w:t>
            </w:r>
          </w:p>
        </w:tc>
        <w:tc>
          <w:tcPr>
            <w:tcW w:type="dxa" w:w="362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qu'il faut faire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Risque client</w:t>
            </w:r>
          </w:p>
        </w:tc>
        <w:tc>
          <w:tcPr>
            <w:tcW w:type="dxa" w:w="5102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 xml:space="preserve">Encours </w:t>
            </w:r>
            <w:r>
              <w:rPr>
                <w:b/>
                <w:i w:val="0"/>
                <w:sz w:val="16"/>
              </w:rPr>
              <w:t>10 000 €</w:t>
            </w:r>
            <w:r>
              <w:rPr>
                <w:b w:val="0"/>
                <w:i w:val="0"/>
                <w:sz w:val="16"/>
              </w:rPr>
              <w:t xml:space="preserve"> autorisé, </w:t>
            </w:r>
            <w:r>
              <w:rPr>
                <w:b/>
                <w:i w:val="0"/>
                <w:sz w:val="16"/>
              </w:rPr>
              <w:t>9 200 €</w:t>
            </w:r>
            <w:r>
              <w:rPr>
                <w:b w:val="0"/>
                <w:i w:val="0"/>
                <w:sz w:val="16"/>
              </w:rPr>
              <w:t xml:space="preserve"> utilisés → </w:t>
            </w:r>
            <w:r>
              <w:rPr>
                <w:b/>
                <w:i w:val="0"/>
                <w:sz w:val="16"/>
              </w:rPr>
              <w:t>800 € disponibles</w:t>
            </w:r>
            <w:r>
              <w:rPr>
                <w:b w:val="0"/>
                <w:i w:val="0"/>
                <w:sz w:val="16"/>
              </w:rPr>
              <w:t xml:space="preserve">. Commande : </w:t>
            </w:r>
            <w:r>
              <w:rPr>
                <w:b/>
                <w:i w:val="0"/>
                <w:sz w:val="16"/>
              </w:rPr>
              <w:t>5 961,60 € TTC</w:t>
            </w:r>
            <w:r>
              <w:rPr>
                <w:b w:val="0"/>
                <w:i w:val="0"/>
                <w:sz w:val="16"/>
              </w:rPr>
              <w:t xml:space="preserve">. Il demande </w:t>
            </w:r>
            <w:r>
              <w:rPr>
                <w:b/>
                <w:i w:val="0"/>
                <w:sz w:val="16"/>
              </w:rPr>
              <w:t>45 jours</w:t>
            </w:r>
            <w:r>
              <w:rPr>
                <w:b w:val="0"/>
                <w:i w:val="0"/>
                <w:sz w:val="16"/>
              </w:rPr>
              <w:t xml:space="preserve"> au lieu de 30, et parle d'« un client qui tarde à payer » et d'« un chantier arrêté depuis septembre ».</w:t>
            </w:r>
          </w:p>
        </w:tc>
        <w:tc>
          <w:tcPr>
            <w:tcW w:type="dxa" w:w="362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 xml:space="preserve">Vérifier l'encours avant de promettre : dépassement de </w:t>
            </w:r>
            <w:r>
              <w:rPr>
                <w:b/>
                <w:i w:val="0"/>
                <w:sz w:val="16"/>
              </w:rPr>
              <w:t>5 161,60 €</w:t>
            </w:r>
            <w:r>
              <w:rPr>
                <w:b w:val="0"/>
                <w:i w:val="0"/>
                <w:sz w:val="16"/>
              </w:rPr>
              <w:t>. Accord du chef de dépôt ou fractionnement.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Risque affaire</w:t>
            </w:r>
          </w:p>
        </w:tc>
        <w:tc>
          <w:tcPr>
            <w:tcW w:type="dxa" w:w="5102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 xml:space="preserve">Les </w:t>
            </w:r>
            <w:r>
              <w:rPr>
                <w:b/>
                <w:i w:val="0"/>
                <w:sz w:val="16"/>
              </w:rPr>
              <w:t>briques d'angle</w:t>
            </w:r>
            <w:r>
              <w:rPr>
                <w:b w:val="0"/>
                <w:i w:val="0"/>
                <w:sz w:val="16"/>
              </w:rPr>
              <w:t xml:space="preserve"> sont une fabrication spéciale : 4 semaines, </w:t>
            </w:r>
            <w:r>
              <w:rPr>
                <w:b/>
                <w:i w:val="0"/>
                <w:sz w:val="16"/>
              </w:rPr>
              <w:t>non reprise, non annulable</w:t>
            </w:r>
            <w:r>
              <w:rPr>
                <w:b w:val="0"/>
                <w:i w:val="0"/>
                <w:sz w:val="16"/>
              </w:rPr>
              <w:t xml:space="preserve">, </w:t>
            </w:r>
            <w:r>
              <w:rPr>
                <w:b/>
                <w:i w:val="0"/>
                <w:sz w:val="16"/>
              </w:rPr>
              <w:t>1 380 € HT</w:t>
            </w:r>
            <w:r>
              <w:rPr>
                <w:b w:val="0"/>
                <w:i w:val="0"/>
                <w:sz w:val="16"/>
              </w:rPr>
              <w:t xml:space="preserve"> immobilisés. Et il commande 20 palettes alors que son besoin du premier chantier est de 12.</w:t>
            </w:r>
          </w:p>
        </w:tc>
        <w:tc>
          <w:tcPr>
            <w:tcW w:type="dxa" w:w="362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 xml:space="preserve">Séparer les deux lignes : le monomur sur l'encours, les angles avec </w:t>
            </w:r>
            <w:r>
              <w:rPr>
                <w:b/>
                <w:i w:val="0"/>
                <w:sz w:val="16"/>
              </w:rPr>
              <w:t>690 € HT d'acompte</w:t>
            </w:r>
            <w:r>
              <w:rPr>
                <w:b w:val="0"/>
                <w:i w:val="0"/>
                <w:sz w:val="16"/>
              </w:rPr>
              <w:t xml:space="preserve"> (50 %).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tcBorders>
              <w:top w:val="nil"/>
              <w:bottom w:val="nil"/>
              <w:right w:val="nil"/>
              <w:left w:val="single" w:sz="18" w:space="0" w:color="B4522C"/>
            </w:tcBorders>
            <w:shd w:val="clear" w:color="auto" w:fill="FBEFE9"/>
            <w:tcMar>
              <w:top w:w="130" w:type="dxa"/>
              <w:left w:w="190" w:type="dxa"/>
              <w:bottom w:w="130" w:type="dxa"/>
              <w:right w:w="160" w:type="dxa"/>
            </w:tcMar>
          </w:tcPr>
          <w:p>
            <w:pPr>
              <w:spacing w:after="60"/>
            </w:pPr>
            <w:r/>
            <w:r>
              <w:rPr>
                <w:b/>
                <w:color w:val="B4522C"/>
                <w:sz w:val="15"/>
                <w:spacing w:val="30"/>
              </w:rPr>
              <w:t>LES TROIS FAUTES QUI COÛTENT LE PLUS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/>
                <w:i w:val="0"/>
                <w:sz w:val="16"/>
              </w:rPr>
              <w:t>Comparer un prix unitaire sans passer au m²</w:t>
            </w:r>
            <w:r>
              <w:rPr>
                <w:b w:val="0"/>
                <w:i w:val="0"/>
                <w:sz w:val="16"/>
              </w:rPr>
              <w:t xml:space="preserve"> : 12,5 briques par m², c'est là que se joue l'écart réel.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/>
                <w:i w:val="0"/>
                <w:sz w:val="16"/>
              </w:rPr>
              <w:t>S'aligner sur le non rectifié</w:t>
            </w:r>
            <w:r>
              <w:rPr>
                <w:b w:val="0"/>
                <w:i w:val="0"/>
                <w:sz w:val="16"/>
              </w:rPr>
              <w:t xml:space="preserve"> : la remise maximum est de 3 %, elle ne permet pas d'atteindre 3,85 €.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/>
                <w:i w:val="0"/>
                <w:sz w:val="16"/>
              </w:rPr>
              <w:t>Oublier les 3 % de chutes</w:t>
            </w:r>
            <w:r>
              <w:rPr>
                <w:b w:val="0"/>
                <w:i w:val="0"/>
                <w:sz w:val="16"/>
              </w:rPr>
              <w:t xml:space="preserve"> : 1 125 briques au lieu de 1 200, le chantier s'arrête à l'arase.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pStyle w:val="Heading2"/>
      </w:pPr>
      <w:r>
        <w:t>Après l'entretien — remédiation immédiate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608"/>
        <w:gridCol w:w="7597"/>
      </w:tblGrid>
      <w:tr>
        <w:trPr>
          <w:tblHeader/>
          <w:cantSplit/>
        </w:trPr>
        <w:tc>
          <w:tcPr>
            <w:tcW w:type="dxa" w:w="260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Si le point faible est…</w:t>
            </w:r>
          </w:p>
        </w:tc>
        <w:tc>
          <w:tcPr>
            <w:tcW w:type="dxa" w:w="759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Faire refaire, tout de suite, à l'oral</w:t>
            </w:r>
          </w:p>
        </w:tc>
      </w:tr>
      <w:tr>
        <w:trPr>
          <w:cantSplit/>
        </w:trPr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Le calcul</w:t>
            </w:r>
          </w:p>
        </w:tc>
        <w:tc>
          <w:tcPr>
            <w:tcW w:type="dxa" w:w="759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Reprendre 60 m² de mur et refaire briques, palettes et coût, sans notes</w:t>
            </w:r>
          </w:p>
        </w:tc>
      </w:tr>
      <w:tr>
        <w:trPr>
          <w:cantSplit/>
        </w:trPr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La comparaison HT / TTC</w:t>
            </w:r>
          </w:p>
        </w:tc>
        <w:tc>
          <w:tcPr>
            <w:tcW w:type="dxa" w:w="759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Trois conversions : 3,85 HT → 4,62 TTC · 4,14 HT → 4,97 TTC · 4,72 HT → 5,66 TTC</w:t>
            </w:r>
          </w:p>
        </w:tc>
      </w:tr>
      <w:tr>
        <w:trPr>
          <w:cantSplit/>
        </w:trPr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L'argumentation</w:t>
            </w:r>
          </w:p>
        </w:tc>
        <w:tc>
          <w:tcPr>
            <w:tcW w:type="dxa" w:w="759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Expliquer rectifié / non rectifié à un maçon, en une phrase et un chiffre</w:t>
            </w:r>
          </w:p>
        </w:tc>
      </w:tr>
      <w:tr>
        <w:trPr>
          <w:cantSplit/>
        </w:trPr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La conclusion</w:t>
            </w:r>
          </w:p>
        </w:tc>
        <w:tc>
          <w:tcPr>
            <w:tcW w:type="dxa" w:w="759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Trois clôtures en trente secondes, sans notes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pStyle w:val="Heading3"/>
      </w:pPr>
      <w:r>
        <w:t>Retour à formuler au candidat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  <w:trHeight w:val="453" w:hRule="exact"/>
        </w:trPr>
        <w:tc>
          <w:tcPr>
            <w:tcW w:type="dxa" w:w="9638"/>
            <w:tcMar>
              <w:top w:w="20" w:type="dxa"/>
              <w:left w:w="90" w:type="dxa"/>
              <w:bottom w:w="20" w:type="dxa"/>
              <w:right w:w="90" w:type="dxa"/>
            </w:tcMar>
            <w:tcBorders>
              <w:bottom w:val="single" w:sz="4" w:space="0" w:color="D8E2E6"/>
            </w:tcBorders>
          </w:tcPr>
          <w:p>
            <w:r/>
          </w:p>
        </w:tc>
      </w:tr>
      <w:tr>
        <w:trPr>
          <w:cantSplit/>
          <w:trHeight w:val="453" w:hRule="exact"/>
        </w:trPr>
        <w:tc>
          <w:tcPr>
            <w:tcW w:type="dxa" w:w="9638"/>
            <w:tcMar>
              <w:top w:w="20" w:type="dxa"/>
              <w:left w:w="90" w:type="dxa"/>
              <w:bottom w:w="20" w:type="dxa"/>
              <w:right w:w="90" w:type="dxa"/>
            </w:tcMar>
            <w:tcBorders>
              <w:bottom w:val="single" w:sz="4" w:space="0" w:color="D8E2E6"/>
            </w:tcBorders>
          </w:tcPr>
          <w:p>
            <w:r/>
          </w:p>
        </w:tc>
      </w:tr>
      <w:tr>
        <w:trPr>
          <w:cantSplit/>
          <w:trHeight w:val="453" w:hRule="exact"/>
        </w:trPr>
        <w:tc>
          <w:tcPr>
            <w:tcW w:type="dxa" w:w="9638"/>
            <w:tcMar>
              <w:top w:w="20" w:type="dxa"/>
              <w:left w:w="90" w:type="dxa"/>
              <w:bottom w:w="20" w:type="dxa"/>
              <w:right w:w="90" w:type="dxa"/>
            </w:tcMar>
            <w:tcBorders>
              <w:bottom w:val="single" w:sz="4" w:space="0" w:color="D8E2E6"/>
            </w:tcBorders>
          </w:tcPr>
          <w:p>
            <w:r/>
          </w:p>
        </w:tc>
      </w:tr>
    </w:tbl>
    <w:p>
      <w:pPr>
        <w:spacing w:after="120"/>
      </w:pPr>
      <w:r>
        <w:rPr>
          <w:b w:val="0"/>
          <w:i/>
          <w:color w:val="6B7C85"/>
          <w:sz w:val="15"/>
        </w:rPr>
        <w:t>Une force observée · un chiffre à corriger · une phrase à retravailler avant le passage suivant.</w:t>
      </w:r>
    </w:p>
    <w:sectPr w:rsidR="00FC693F" w:rsidRPr="0006063C" w:rsidSect="00034616">
      <w:footerReference w:type="default" r:id="rId9"/>
      <w:pgSz w:w="11906" w:h="16838"/>
      <w:pgMar w:top="765" w:right="850" w:bottom="680" w:left="850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1" w:val="right"/>
      </w:tabs>
      <w:pBdr>
        <w:bottom w:val="single" w:sz="4" w:space="2" w:color="D5DFE3"/>
      </w:pBdr>
    </w:pPr>
    <w:r/>
    <w:r>
      <w:rPr>
        <w:color w:val="7A8B94"/>
        <w:sz w:val="15"/>
      </w:rPr>
      <w:t>BTS CCST · E5 Situation 2 · Cas 3 monomur · corrigé formateur</w:t>
    </w:r>
    <w:r>
      <w:rPr>
        <w:color w:val="7A8B94"/>
        <w:sz w:val="15"/>
      </w:rPr>
      <w:tab/>
      <w:t xml:space="preserve">page </w:t>
    </w:r>
    <w:r>
      <w:rPr>
        <w:color w:val="7A8B94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7A8B94"/>
        <w:sz w:val="15"/>
      </w:rPr>
      <w:t xml:space="preserve"> / </w:t>
    </w:r>
    <w:r>
      <w:rPr>
        <w:color w:val="7A8B94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Calibri" w:hAnsi="Calibri" w:cs="Calibri"/>
      <w:color w:val="3C4A5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180"/>
      <w:outlineLvl w:val="0"/>
    </w:pPr>
    <w:rPr>
      <w:rFonts w:asciiTheme="majorHAnsi" w:eastAsiaTheme="majorEastAsia" w:hAnsiTheme="majorHAnsi" w:cstheme="majorBidi" w:ascii="Calibri" w:hAnsi="Calibri"/>
      <w:b/>
      <w:bCs/>
      <w:color w:val="14384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4384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B4522C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