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B4522C"/>
          <w:sz w:val="14"/>
          <w:spacing w:val="40"/>
        </w:rPr>
        <w:t>ANNEXE  ·  CAS 3 MONOMUR  ·  ANALYSE CONCURRENTIELLE</w:t>
      </w:r>
    </w:p>
    <w:p>
      <w:pPr>
        <w:spacing w:before="0" w:after="20"/>
      </w:pPr>
      <w:r>
        <w:rPr>
          <w:i/>
          <w:color w:val="8A9AA2"/>
          <w:sz w:val="14"/>
        </w:rPr>
        <w:t>Recto — à remettre avec le sujet, une seule feuille, deux faces</w:t>
      </w:r>
    </w:p>
    <w:p>
      <w:pPr>
        <w:spacing w:before="20" w:after="60"/>
      </w:pPr>
      <w:r>
        <w:rPr>
          <w:b/>
          <w:color w:val="14384A"/>
          <w:sz w:val="28"/>
        </w:rPr>
        <w:t>Qui vend de la brique monomur 37,5 autour de Vannes</w:t>
      </w:r>
    </w:p>
    <w:p>
      <w:pPr>
        <w:spacing w:after="80" w:before="0"/>
        <w:jc w:val="both"/>
      </w:pPr>
      <w:r>
        <w:rPr>
          <w:b w:val="0"/>
          <w:i w:val="0"/>
          <w:sz w:val="17"/>
        </w:rPr>
        <w:t xml:space="preserve">Six offres, un seul produit apparent. </w:t>
      </w:r>
      <w:r>
        <w:rPr>
          <w:b/>
          <w:i w:val="0"/>
          <w:sz w:val="17"/>
        </w:rPr>
        <w:t>Tous les prix sont donnés en HT et en TTC</w:t>
      </w:r>
      <w:r>
        <w:rPr>
          <w:b w:val="0"/>
          <w:i w:val="0"/>
          <w:sz w:val="17"/>
        </w:rPr>
        <w:t xml:space="preserve"> : le professionnel raisonne en HT, parce que c'est son coût réel — la TVA se récupère. Mais il doit </w:t>
      </w:r>
      <w:r>
        <w:rPr>
          <w:b/>
          <w:i w:val="0"/>
          <w:sz w:val="17"/>
        </w:rPr>
        <w:t>l'avancer</w:t>
      </w:r>
      <w:r>
        <w:rPr>
          <w:b w:val="0"/>
          <w:i w:val="0"/>
          <w:sz w:val="17"/>
        </w:rPr>
        <w:t>, et c'est pour ça que le TTC compte aussi.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701"/>
        <w:gridCol w:w="1304"/>
        <w:gridCol w:w="1247"/>
        <w:gridCol w:w="1191"/>
        <w:gridCol w:w="1191"/>
        <w:gridCol w:w="1304"/>
        <w:gridCol w:w="1247"/>
      </w:tblGrid>
      <w:tr>
        <w:trPr>
          <w:tblHeader/>
          <w:cantSplit/>
        </w:trPr>
        <w:tc>
          <w:tcPr>
            <w:tcW w:type="dxa" w:w="170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</w:p>
        </w:tc>
        <w:tc>
          <w:tcPr>
            <w:tcW w:type="dxa" w:w="130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PONANT</w:t>
              <w:br/>
              <w:t>(nous)</w:t>
            </w:r>
          </w:p>
        </w:tc>
        <w:tc>
          <w:tcPr>
            <w:tcW w:type="dxa" w:w="124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Chausson</w:t>
            </w:r>
          </w:p>
        </w:tc>
        <w:tc>
          <w:tcPr>
            <w:tcW w:type="dxa" w:w="119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Gedimat</w:t>
            </w:r>
          </w:p>
        </w:tc>
        <w:tc>
          <w:tcPr>
            <w:tcW w:type="dxa" w:w="119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Point.P</w:t>
            </w:r>
          </w:p>
        </w:tc>
        <w:tc>
          <w:tcPr>
            <w:tcW w:type="dxa" w:w="130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Leroy Merlin</w:t>
            </w:r>
          </w:p>
        </w:tc>
        <w:tc>
          <w:tcPr>
            <w:tcW w:type="dxa" w:w="1247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Brico Dépôt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Type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Négoce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Négoce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Négoce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Négoce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Grande surface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Discounter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Produit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rectifiée, joint 2 mm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rectifiée, joint 2 mm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rectifiée, joint 2 mm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 rectifiée, joint 10 mm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 rectifiée, joint 10 mm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 rectifiée, joint 10 mm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Prix d'appel HT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4,14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4,72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4,95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3,98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3,85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3,60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Prix d'appel TTC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4,97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5,66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5,94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4,78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4,62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4,32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Prix comparable HT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4,14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4,72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4,95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3,98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3,85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3,60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Prix comparable TTC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4,97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5,66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5,94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4,78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4,62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4,32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Délai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stock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3 jours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 jours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48 h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immédiat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immédiat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Reprise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1 palette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sous condition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non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Panier 1 200 briques HT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4 968,00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5 664,00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5 940,00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4 776,00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4 620,00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4 320,00</w:t>
            </w:r>
          </w:p>
        </w:tc>
      </w:tr>
      <w:tr>
        <w:trPr>
          <w:cantSplit/>
        </w:trPr>
        <w:tc>
          <w:tcPr>
            <w:tcW w:type="dxa" w:w="170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Panier 1 200 briques TTC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5 961,60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6 796,80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7 128,00</w:t>
            </w:r>
          </w:p>
        </w:tc>
        <w:tc>
          <w:tcPr>
            <w:tcW w:type="dxa" w:w="119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5 731,20</w:t>
            </w:r>
          </w:p>
        </w:tc>
        <w:tc>
          <w:tcPr>
            <w:tcW w:type="dxa" w:w="130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5 544,00</w:t>
            </w:r>
          </w:p>
        </w:tc>
        <w:tc>
          <w:tcPr>
            <w:tcW w:type="dxa" w:w="1247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5 184,00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14384A"/>
            </w:tcBorders>
            <w:shd w:val="clear" w:color="auto" w:fill="EEF3F5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14384A"/>
                <w:sz w:val="15"/>
                <w:spacing w:val="30"/>
              </w:rPr>
              <w:t>POURQUOI LE PRO PARLE EN HT (ET POURQUOI DONNER LE TTC)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14384A"/>
                <w:sz w:val="15"/>
              </w:rPr>
              <w:t xml:space="preserve">›  </w:t>
            </w:r>
            <w:r>
              <w:rPr>
                <w:b w:val="0"/>
                <w:i w:val="0"/>
                <w:sz w:val="15"/>
              </w:rPr>
              <w:t xml:space="preserve">Le professionnel </w:t>
            </w:r>
            <w:r>
              <w:rPr>
                <w:b/>
                <w:i w:val="0"/>
                <w:sz w:val="15"/>
              </w:rPr>
              <w:t>récupère la TVA</w:t>
            </w:r>
            <w:r>
              <w:rPr>
                <w:b w:val="0"/>
                <w:i w:val="0"/>
                <w:sz w:val="15"/>
              </w:rPr>
              <w:t xml:space="preserve"> : son coût réel, c'est le HT. Comparer deux offres en TTC entre pros n'a donc pas de sens.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14384A"/>
                <w:sz w:val="15"/>
              </w:rPr>
              <w:t xml:space="preserve">›  </w:t>
            </w:r>
            <w:r>
              <w:rPr>
                <w:b w:val="0"/>
                <w:i w:val="0"/>
                <w:sz w:val="15"/>
              </w:rPr>
              <w:t xml:space="preserve">Mais il </w:t>
            </w:r>
            <w:r>
              <w:rPr>
                <w:b/>
                <w:i w:val="0"/>
                <w:sz w:val="15"/>
              </w:rPr>
              <w:t>avance la TVA</w:t>
            </w:r>
            <w:r>
              <w:rPr>
                <w:b w:val="0"/>
                <w:i w:val="0"/>
                <w:sz w:val="15"/>
              </w:rPr>
              <w:t xml:space="preserve"> jusqu'à sa déclaration : sur un panier de 5 961,60 € TTC, il sort 993,60 € de trésorerie qu'il ne récupère qu'un mois plus tard.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14384A"/>
                <w:sz w:val="15"/>
              </w:rPr>
              <w:t xml:space="preserve">›  </w:t>
            </w:r>
            <w:r>
              <w:rPr>
                <w:b w:val="0"/>
                <w:i w:val="0"/>
                <w:sz w:val="15"/>
              </w:rPr>
              <w:t xml:space="preserve">Et surtout : </w:t>
            </w:r>
            <w:r>
              <w:rPr>
                <w:b/>
                <w:i w:val="0"/>
                <w:sz w:val="15"/>
              </w:rPr>
              <w:t>la grande surface affiche en TTC, le négoce annonce en HT.</w:t>
            </w:r>
            <w:r>
              <w:rPr>
                <w:b w:val="0"/>
                <w:i w:val="0"/>
                <w:sz w:val="15"/>
              </w:rPr>
              <w:t xml:space="preserve"> C'est là que naît la confusion du client.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4F0EA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CE QUE LE TABLEAU DIT VRAIMENT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Nous ne sommes pas les moins chers au prix unitaire</w:t>
            </w:r>
            <w:r>
              <w:rPr>
                <w:b w:val="0"/>
                <w:i w:val="0"/>
                <w:sz w:val="15"/>
              </w:rPr>
              <w:t xml:space="preserve"> : 4,14 € contre 3,60 € chez Brico. Mais les trois produits les moins chers sont </w:t>
            </w:r>
            <w:r>
              <w:rPr>
                <w:b/>
                <w:i w:val="0"/>
                <w:sz w:val="15"/>
              </w:rPr>
              <w:t>non rectifiés</w:t>
            </w:r>
            <w:r>
              <w:rPr>
                <w:b w:val="0"/>
                <w:i w:val="0"/>
                <w:sz w:val="15"/>
              </w:rPr>
              <w:t xml:space="preserve"> : joints à la chaux de 10 mm, pose plus lente, étanchéité à l'air moins bonne.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Le surcoût réel est de 348 €</w:t>
            </w:r>
            <w:r>
              <w:rPr>
                <w:b w:val="0"/>
                <w:i w:val="0"/>
                <w:sz w:val="15"/>
              </w:rPr>
              <w:t xml:space="preserve"> sur l'affaire (4 968 € contre 4 620 € chez Leroy), pour </w:t>
            </w:r>
            <w:r>
              <w:rPr>
                <w:b/>
                <w:i w:val="0"/>
                <w:sz w:val="15"/>
              </w:rPr>
              <w:t>1,5 jour de pose économisé</w:t>
            </w:r>
            <w:r>
              <w:rPr>
                <w:b w:val="0"/>
                <w:i w:val="0"/>
                <w:sz w:val="15"/>
              </w:rPr>
              <w:t xml:space="preserve"> et le mortier en moins : </w:t>
            </w:r>
            <w:r>
              <w:rPr>
                <w:b/>
                <w:i w:val="0"/>
                <w:sz w:val="15"/>
              </w:rPr>
              <w:t>660 €</w:t>
            </w:r>
            <w:r>
              <w:rPr>
                <w:b w:val="0"/>
                <w:i w:val="0"/>
                <w:sz w:val="15"/>
              </w:rPr>
              <w:t xml:space="preserve"> de main-d'œuvre à 55 €/h.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C'est le seul argument honnête ici</w:t>
            </w:r>
            <w:r>
              <w:rPr>
                <w:b w:val="0"/>
                <w:i w:val="0"/>
                <w:sz w:val="15"/>
              </w:rPr>
              <w:t xml:space="preserve"> : on ne dit pas « je suis moins cher », on dit « vous payez 348 € pour en économiser 660 ».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4F0EA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LA MÉTHODE, EN TROIS TEMPS — À REFAIRE SUR N'IMPORTE QUEL MATÉRIAU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1. Tout ramener dans la même unité.</w:t>
            </w:r>
            <w:r>
              <w:rPr>
                <w:b w:val="0"/>
                <w:i w:val="0"/>
                <w:sz w:val="15"/>
              </w:rPr>
              <w:t xml:space="preserve"> Un prix HT ne se compare pas à un prix TTC. On convertit avant de comparer, sinon on compare deux choses qui n'existent pas l'une pour l'autre.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2. Comparer à caractéristique égale.</w:t>
            </w:r>
            <w:r>
              <w:rPr>
                <w:b w:val="0"/>
                <w:i w:val="0"/>
                <w:sz w:val="15"/>
              </w:rPr>
              <w:t xml:space="preserve"> R et densité, calibrage, durée de vie : le produit d'appel n'est pas le produit vendu. C'est toujours sur la ligne « prix comparable » que se joue la vraie discussion.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5"/>
              </w:rPr>
              <w:t xml:space="preserve">›  </w:t>
            </w:r>
            <w:r>
              <w:rPr>
                <w:b/>
                <w:i w:val="0"/>
                <w:sz w:val="15"/>
              </w:rPr>
              <w:t>3. Calculer le panier complet.</w:t>
            </w:r>
            <w:r>
              <w:rPr>
                <w:b w:val="0"/>
                <w:i w:val="0"/>
                <w:sz w:val="15"/>
              </w:rPr>
              <w:t xml:space="preserve"> Le prix à l'unité ne dit rien tant qu'il n'est pas multiplié par la quantité réelle. C'est le panier, et lui seul, que le client paie.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spacing w:after="0"/>
      </w:pPr>
      <w:r>
        <w:rPr>
          <w:b w:val="0"/>
          <w:i/>
          <w:color w:val="6B7C85"/>
          <w:sz w:val="14"/>
        </w:rPr>
        <w:t>Prix relevés le 15 octobre 2026 sur le bassin de Vannes. Cas pédagogique : les montants sont des données de dossier, cohérentes entre elles, pas des relevés officiels. Panier calculé sur 1 200 briques, TVA 20 %.</w:t>
      </w:r>
    </w:p>
    <w:p>
      <w:r>
        <w:br w:type="page"/>
      </w:r>
    </w:p>
    <w:p>
      <w:pPr>
        <w:spacing w:after="20"/>
      </w:pPr>
      <w:r>
        <w:rPr>
          <w:b/>
          <w:color w:val="B4522C"/>
          <w:sz w:val="14"/>
          <w:spacing w:val="40"/>
        </w:rPr>
        <w:t>ANNEXE  ·  CAS 3 MONOMUR  ·  ANALYSE CONCURRENTIELLE</w:t>
      </w:r>
    </w:p>
    <w:p>
      <w:pPr>
        <w:spacing w:before="0" w:after="20"/>
      </w:pPr>
      <w:r>
        <w:rPr>
          <w:i/>
          <w:color w:val="8A9AA2"/>
          <w:sz w:val="14"/>
        </w:rPr>
        <w:t>Verso — lecture directe / indirecte et ce qu'on répond</w:t>
      </w:r>
    </w:p>
    <w:p>
      <w:pPr>
        <w:spacing w:before="20" w:after="60"/>
      </w:pPr>
      <w:r>
        <w:rPr>
          <w:b/>
          <w:color w:val="14384A"/>
          <w:sz w:val="28"/>
        </w:rPr>
        <w:t>Concurrence directe et concurrence indirecte</w:t>
      </w:r>
    </w:p>
    <w:p>
      <w:pPr>
        <w:spacing w:after="60" w:before="0"/>
        <w:jc w:val="both"/>
      </w:pPr>
      <w:r>
        <w:rPr>
          <w:b/>
          <w:i w:val="0"/>
          <w:sz w:val="17"/>
        </w:rPr>
        <w:t>Directe</w:t>
      </w:r>
      <w:r>
        <w:rPr>
          <w:b w:val="0"/>
          <w:i w:val="0"/>
          <w:sz w:val="17"/>
        </w:rPr>
        <w:t xml:space="preserve"> : même produit, même client, même besoin. Elle se combat sur le prix pro, le stock et le délai. </w:t>
      </w:r>
      <w:r>
        <w:rPr>
          <w:b/>
          <w:i w:val="0"/>
          <w:sz w:val="17"/>
        </w:rPr>
        <w:t>Indirecte</w:t>
      </w:r>
      <w:r>
        <w:rPr>
          <w:b w:val="0"/>
          <w:i w:val="0"/>
          <w:sz w:val="17"/>
        </w:rPr>
        <w:t xml:space="preserve"> : autre produit pour le même client, ou même produit pour un autre client. Elle se combat sur la </w:t>
      </w:r>
      <w:r>
        <w:rPr>
          <w:b/>
          <w:i w:val="0"/>
          <w:sz w:val="17"/>
        </w:rPr>
        <w:t>qualité réelle</w:t>
      </w:r>
      <w:r>
        <w:rPr>
          <w:b w:val="0"/>
          <w:i w:val="0"/>
          <w:sz w:val="17"/>
        </w:rPr>
        <w:t xml:space="preserve"> et le </w:t>
      </w:r>
      <w:r>
        <w:rPr>
          <w:b/>
          <w:i w:val="0"/>
          <w:sz w:val="17"/>
        </w:rPr>
        <w:t>service</w:t>
      </w:r>
      <w:r>
        <w:rPr>
          <w:b w:val="0"/>
          <w:i w:val="0"/>
          <w:sz w:val="17"/>
        </w:rPr>
        <w:t xml:space="preserve"> — jamais sur le prix.</w:t>
      </w:r>
    </w:p>
    <w:p>
      <w:pPr>
        <w:keepNext/>
        <w:spacing w:before="120" w:after="40"/>
      </w:pPr>
      <w:r>
        <w:rPr>
          <w:b/>
          <w:color w:val="14384A"/>
          <w:sz w:val="14"/>
          <w:spacing w:val="30"/>
        </w:rPr>
        <w:t>LES DEUX TERRAINS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3061"/>
        <w:gridCol w:w="3288"/>
        <w:gridCol w:w="3628"/>
      </w:tblGrid>
      <w:tr>
        <w:trPr>
          <w:tblHeader/>
          <w:cantSplit/>
        </w:trPr>
        <w:tc>
          <w:tcPr>
            <w:tcW w:type="dxa" w:w="3061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Concurrence directe</w:t>
            </w:r>
          </w:p>
        </w:tc>
        <w:tc>
          <w:tcPr>
            <w:tcW w:type="dxa" w:w="328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Concurrence indirecte</w:t>
            </w:r>
          </w:p>
        </w:tc>
        <w:tc>
          <w:tcPr>
            <w:tcW w:type="dxa" w:w="3628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4"/>
              </w:rPr>
              <w:t>Ce que ça change dans la réponse</w:t>
            </w:r>
          </w:p>
        </w:tc>
      </w:tr>
      <w:tr>
        <w:trPr>
          <w:cantSplit/>
        </w:trPr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Point.P</w:t>
            </w:r>
            <w:r>
              <w:rPr>
                <w:b w:val="0"/>
                <w:i w:val="0"/>
                <w:sz w:val="14"/>
              </w:rPr>
              <w:t xml:space="preserve">, </w:t>
            </w:r>
            <w:r>
              <w:rPr>
                <w:b/>
                <w:i w:val="0"/>
                <w:sz w:val="14"/>
              </w:rPr>
              <w:t>Chausson</w:t>
            </w:r>
            <w:r>
              <w:rPr>
                <w:b w:val="0"/>
                <w:i w:val="0"/>
                <w:sz w:val="14"/>
              </w:rPr>
              <w:t xml:space="preserve">, </w:t>
            </w:r>
            <w:r>
              <w:rPr>
                <w:b/>
                <w:i w:val="0"/>
                <w:sz w:val="14"/>
              </w:rPr>
              <w:t>Gedimat</w:t>
            </w:r>
            <w:r>
              <w:rPr>
                <w:b w:val="0"/>
                <w:i w:val="0"/>
                <w:sz w:val="14"/>
              </w:rPr>
              <w:t xml:space="preserve"> — négoces pour artisans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Leroy Merlin</w:t>
            </w:r>
            <w:r>
              <w:rPr>
                <w:b w:val="0"/>
                <w:i w:val="0"/>
                <w:sz w:val="14"/>
              </w:rPr>
              <w:t xml:space="preserve">, </w:t>
            </w:r>
            <w:r>
              <w:rPr>
                <w:b/>
                <w:i w:val="0"/>
                <w:sz w:val="14"/>
              </w:rPr>
              <w:t>Brico Dépôt</w:t>
            </w:r>
            <w:r>
              <w:rPr>
                <w:b w:val="0"/>
                <w:i w:val="0"/>
                <w:sz w:val="14"/>
              </w:rPr>
              <w:t xml:space="preserve"> — grande surface et discounter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 xml:space="preserve">En direct : </w:t>
            </w:r>
            <w:r>
              <w:rPr>
                <w:b/>
                <w:i w:val="0"/>
                <w:sz w:val="14"/>
              </w:rPr>
              <w:t>prix pro, stock, délai</w:t>
            </w:r>
            <w:r>
              <w:rPr>
                <w:b w:val="0"/>
                <w:i w:val="0"/>
                <w:sz w:val="14"/>
              </w:rPr>
              <w:t xml:space="preserve">. En indirect : </w:t>
            </w:r>
            <w:r>
              <w:rPr>
                <w:b/>
                <w:i w:val="0"/>
                <w:sz w:val="14"/>
              </w:rPr>
              <w:t>le rectifié et le temps de pose</w:t>
            </w:r>
            <w:r>
              <w:rPr>
                <w:b w:val="0"/>
                <w:i w:val="0"/>
                <w:sz w:val="14"/>
              </w:rPr>
              <w:t>.</w:t>
            </w:r>
          </w:p>
        </w:tc>
      </w:tr>
      <w:tr>
        <w:trPr>
          <w:cantSplit/>
        </w:trPr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>Même produit, même besoin : la comparaison est légitime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 xml:space="preserve">Produit d'appel non rectifié : la comparaison est </w:t>
            </w:r>
            <w:r>
              <w:rPr>
                <w:b/>
                <w:i w:val="0"/>
                <w:sz w:val="14"/>
              </w:rPr>
              <w:t>biaisée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 xml:space="preserve">On ne dit pas « c'est plus cher » : on dit </w:t>
            </w:r>
            <w:r>
              <w:rPr>
                <w:b/>
                <w:i w:val="0"/>
                <w:sz w:val="14"/>
              </w:rPr>
              <w:t>« ce n'est pas le même joint »</w:t>
            </w:r>
            <w:r>
              <w:rPr>
                <w:b w:val="0"/>
                <w:i w:val="0"/>
                <w:sz w:val="14"/>
              </w:rPr>
              <w:t>.</w:t>
            </w:r>
          </w:p>
        </w:tc>
      </w:tr>
      <w:tr>
        <w:trPr>
          <w:cantSplit/>
        </w:trPr>
        <w:tc>
          <w:tcPr>
            <w:tcW w:type="dxa" w:w="3061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Pure player en ligne</w:t>
            </w:r>
            <w:r>
              <w:rPr>
                <w:b w:val="0"/>
                <w:i w:val="0"/>
                <w:sz w:val="14"/>
              </w:rPr>
              <w:t xml:space="preserve"> : même brique, mais palette incomplète et casse à la charge du client</w:t>
            </w:r>
          </w:p>
        </w:tc>
        <w:tc>
          <w:tcPr>
            <w:tcW w:type="dxa" w:w="328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4"/>
              </w:rPr>
              <w:t>Substitution</w:t>
            </w:r>
            <w:r>
              <w:rPr>
                <w:b w:val="0"/>
                <w:i w:val="0"/>
                <w:sz w:val="14"/>
              </w:rPr>
              <w:t xml:space="preserve"> : béton cellulaire, ossature bois, brique de 20 + isolant</w:t>
            </w:r>
          </w:p>
        </w:tc>
        <w:tc>
          <w:tcPr>
            <w:tcW w:type="dxa" w:w="3628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4"/>
              </w:rPr>
              <w:t xml:space="preserve">En ligne : </w:t>
            </w:r>
            <w:r>
              <w:rPr>
                <w:b/>
                <w:i w:val="0"/>
                <w:sz w:val="14"/>
              </w:rPr>
              <w:t>palette et casse</w:t>
            </w:r>
            <w:r>
              <w:rPr>
                <w:b w:val="0"/>
                <w:i w:val="0"/>
                <w:sz w:val="14"/>
              </w:rPr>
              <w:t xml:space="preserve">. En substitution : on </w:t>
            </w:r>
            <w:r>
              <w:rPr>
                <w:b/>
                <w:i w:val="0"/>
                <w:sz w:val="14"/>
              </w:rPr>
              <w:t>repose la question du besoin</w:t>
            </w:r>
            <w:r>
              <w:rPr>
                <w:b w:val="0"/>
                <w:i w:val="0"/>
                <w:sz w:val="14"/>
              </w:rPr>
              <w:t>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p>
      <w:pPr>
        <w:keepNext/>
        <w:spacing w:before="120" w:after="40"/>
      </w:pPr>
      <w:r>
        <w:rPr>
          <w:b/>
          <w:color w:val="14384A"/>
          <w:sz w:val="14"/>
          <w:spacing w:val="30"/>
        </w:rPr>
        <w:t>CE QU'ON OPPOSE À CHACUN, EN UNE PHRASE ET UN CHIFFRE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3D0D6"/>
          <w:left w:val="single" w:sz="4" w:space="0" w:color="C3D0D6"/>
          <w:bottom w:val="single" w:sz="4" w:space="0" w:color="C3D0D6"/>
          <w:right w:val="single" w:sz="4" w:space="0" w:color="C3D0D6"/>
          <w:insideH w:val="single" w:sz="4" w:space="0" w:color="C3D0D6"/>
          <w:insideV w:val="single" w:sz="4" w:space="0" w:color="C3D0D6"/>
        </w:tblBorders>
      </w:tblPr>
      <w:tblGrid>
        <w:gridCol w:w="1814"/>
        <w:gridCol w:w="2835"/>
        <w:gridCol w:w="5329"/>
      </w:tblGrid>
      <w:tr>
        <w:trPr>
          <w:tblHeader/>
          <w:cantSplit/>
        </w:trPr>
        <w:tc>
          <w:tcPr>
            <w:tcW w:type="dxa" w:w="1814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Enseigne</w:t>
            </w:r>
          </w:p>
        </w:tc>
        <w:tc>
          <w:tcPr>
            <w:tcW w:type="dxa" w:w="2835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Sa force</w:t>
            </w:r>
          </w:p>
        </w:tc>
        <w:tc>
          <w:tcPr>
            <w:tcW w:type="dxa" w:w="5329"/>
            <w:shd w:val="clear" w:color="auto" w:fill="14384A"/>
            <w:tcMar>
              <w:top w:w="70" w:type="dxa"/>
              <w:left w:w="100" w:type="dxa"/>
              <w:bottom w:w="7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5"/>
              </w:rPr>
              <w:t>Notre réponse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Leroy Merlin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prix unitaire, 3,85 €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Elle est non rectifiée : joint de 10 mm à la chaux. Vous payez 348 € de moins et vous posez 1,5 jour de plus : 660 € de maçon. »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Brico Dépôt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prix le plus bas, 3,60 €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Même chose, et sans reprise de palette. Sur 90 m², l'écart est de 648 €, la pose en plus vaut 660 €. »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Point.P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livraison 48 h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Sur ce produit, je suis à 4 968 contre 4 776 : 192 € d'écart, et je vous livre les 20 palettes complètes. »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Chausson, Gedimat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La proximité, les comptes ouverts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  <w:shd w:val="clear" w:color="auto" w:fill="F7F9FA"/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4,14 contre 4,72 et 4,95 : même produit rectifié, et j'ai 12 palettes en stock ce matin. »</w:t>
            </w:r>
          </w:p>
        </w:tc>
      </w:tr>
      <w:tr>
        <w:trPr>
          <w:cantSplit/>
        </w:trPr>
        <w:tc>
          <w:tcPr>
            <w:tcW w:type="dxa" w:w="1814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/>
                <w:i w:val="0"/>
                <w:sz w:val="15"/>
              </w:rPr>
              <w:t>En ligne</w:t>
            </w:r>
          </w:p>
        </w:tc>
        <w:tc>
          <w:tcPr>
            <w:tcW w:type="dxa" w:w="2835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Le prix catalogue</w:t>
            </w:r>
          </w:p>
        </w:tc>
        <w:tc>
          <w:tcPr>
            <w:tcW w:type="dxa" w:w="5329"/>
            <w:tcMar>
              <w:top w:w="55" w:type="dxa"/>
              <w:left w:w="100" w:type="dxa"/>
              <w:bottom w:w="55" w:type="dxa"/>
              <w:right w:w="100" w:type="dxa"/>
            </w:tcMar>
          </w:tcPr>
          <w:p>
            <w:pPr>
              <w:spacing w:after="0" w:line="240" w:lineRule="auto"/>
            </w:pPr>
            <w:r/>
            <w:r>
              <w:rPr>
                <w:b w:val="0"/>
                <w:i w:val="0"/>
                <w:sz w:val="15"/>
              </w:rPr>
              <w:t>« Palette incomplète, 10 à 15 jours, casse pour vous. Sur une élévation de 90 m², vous ne pouvez pas. »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4F0EA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TROIS PHRASES À RETENIR POUR L'ENTRETIEN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« </w:t>
            </w:r>
            <w:r>
              <w:rPr>
                <w:b/>
                <w:i w:val="0"/>
                <w:sz w:val="16"/>
              </w:rPr>
              <w:t>Ce n'est pas le même joint.</w:t>
            </w:r>
            <w:r>
              <w:rPr>
                <w:b w:val="0"/>
                <w:i w:val="0"/>
                <w:sz w:val="16"/>
              </w:rPr>
              <w:t xml:space="preserve"> » — puis on montre la différence rectifié / non rectifié.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« </w:t>
            </w:r>
            <w:r>
              <w:rPr>
                <w:b/>
                <w:i w:val="0"/>
                <w:sz w:val="16"/>
              </w:rPr>
              <w:t>348 € de plus, 660 € de pose en moins.</w:t>
            </w:r>
            <w:r>
              <w:rPr>
                <w:b w:val="0"/>
                <w:i w:val="0"/>
                <w:sz w:val="16"/>
              </w:rPr>
              <w:t xml:space="preserve"> » — puis on donne les deux chiffres.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« </w:t>
            </w:r>
            <w:r>
              <w:rPr>
                <w:b/>
                <w:i w:val="0"/>
                <w:sz w:val="16"/>
              </w:rPr>
              <w:t>Je vous vends une élévation qui monte droit.</w:t>
            </w:r>
            <w:r>
              <w:rPr>
                <w:b w:val="0"/>
                <w:i w:val="0"/>
                <w:sz w:val="16"/>
              </w:rPr>
              <w:t xml:space="preserve"> » — puis le stock et la palette complète.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751"/>
            <w:tcBorders>
              <w:top w:val="nil"/>
              <w:bottom w:val="nil"/>
              <w:right w:val="nil"/>
              <w:left w:val="single" w:sz="18" w:space="0" w:color="B4522C"/>
            </w:tcBorders>
            <w:shd w:val="clear" w:color="auto" w:fill="FBEFE9"/>
            <w:tcMar>
              <w:top w:w="130" w:type="dxa"/>
              <w:left w:w="190" w:type="dxa"/>
              <w:bottom w:w="130" w:type="dxa"/>
              <w:right w:w="160" w:type="dxa"/>
            </w:tcMar>
          </w:tcPr>
          <w:p>
            <w:pPr>
              <w:spacing w:after="60"/>
            </w:pPr>
            <w:r/>
            <w:r>
              <w:rPr>
                <w:b/>
                <w:color w:val="B4522C"/>
                <w:sz w:val="15"/>
                <w:spacing w:val="30"/>
              </w:rPr>
              <w:t>LE PIÈGE DE CETTE ANNEXE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Elle ne sert </w:t>
            </w:r>
            <w:r>
              <w:rPr>
                <w:b/>
                <w:i w:val="0"/>
                <w:sz w:val="16"/>
              </w:rPr>
              <w:t>pas</w:t>
            </w:r>
            <w:r>
              <w:rPr>
                <w:b w:val="0"/>
                <w:i w:val="0"/>
                <w:sz w:val="16"/>
              </w:rPr>
              <w:t xml:space="preserve"> à dénigrer un confrère devant le client : un artisan qui y achète le samedi n'aime pas qu'on lui dise qu'il achète de la mauvaise qualité.</w:t>
            </w:r>
          </w:p>
          <w:p>
            <w:pPr>
              <w:spacing w:after="40"/>
              <w:ind w:left="198" w:hanging="198"/>
            </w:pPr>
            <w:r>
              <w:rPr>
                <w:b/>
                <w:color w:val="B4522C"/>
                <w:sz w:val="16"/>
              </w:rPr>
              <w:t xml:space="preserve">›  </w:t>
            </w:r>
            <w:r>
              <w:rPr>
                <w:b w:val="0"/>
                <w:i w:val="0"/>
                <w:sz w:val="16"/>
              </w:rPr>
              <w:t xml:space="preserve">Elle sert à </w:t>
            </w:r>
            <w:r>
              <w:rPr>
                <w:b/>
                <w:i w:val="0"/>
                <w:sz w:val="16"/>
              </w:rPr>
              <w:t>poser un chiffre</w:t>
            </w:r>
            <w:r>
              <w:rPr>
                <w:b w:val="0"/>
                <w:i w:val="0"/>
                <w:sz w:val="16"/>
              </w:rPr>
              <w:t xml:space="preserve"> quand le client affirme un prix : « sur le même produit, voilà ce que ça donne ».</w:t>
            </w:r>
          </w:p>
        </w:tc>
      </w:tr>
    </w:tbl>
    <w:p>
      <w:pPr>
        <w:spacing w:before="0" w:after="0" w:line="60" w:lineRule="exact"/>
      </w:pPr>
      <w:r>
        <w:rPr>
          <w:sz w:val="4"/>
        </w:rPr>
      </w:r>
    </w:p>
    <w:sectPr w:rsidR="00FC693F" w:rsidRPr="0006063C" w:rsidSect="00034616">
      <w:footerReference w:type="default" r:id="rId9"/>
      <w:pgSz w:w="11906" w:h="16838"/>
      <w:pgMar w:top="680" w:right="737" w:bottom="624" w:left="737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1" w:val="right"/>
      </w:tabs>
      <w:pBdr>
        <w:bottom w:val="single" w:sz="4" w:space="2" w:color="D5DFE3"/>
      </w:pBdr>
    </w:pPr>
    <w:r/>
    <w:r>
      <w:rPr>
        <w:color w:val="7A8B94"/>
        <w:sz w:val="15"/>
      </w:rPr>
      <w:t>BTS CCST · E5 Situation 2 · Cas 3 monomur · annexe concurrence</w:t>
    </w:r>
    <w:r>
      <w:rPr>
        <w:color w:val="7A8B94"/>
        <w:sz w:val="15"/>
      </w:rPr>
      <w:tab/>
      <w:t xml:space="preserve">page </w:t>
    </w:r>
    <w:r>
      <w:rPr>
        <w:color w:val="7A8B94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7A8B94"/>
        <w:sz w:val="15"/>
      </w:rPr>
      <w:t xml:space="preserve"> / </w:t>
    </w:r>
    <w:r>
      <w:rPr>
        <w:color w:val="7A8B94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Calibri" w:hAnsi="Calibri" w:cs="Calibri"/>
      <w:color w:val="3C4A5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4384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14384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Calibri" w:hAnsi="Calibri"/>
      <w:b/>
      <w:bCs/>
      <w:color w:val="B4522C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