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rPr>
          <w:b/>
          <w:color w:val="B4522C"/>
          <w:sz w:val="15"/>
          <w:spacing w:val="40"/>
        </w:rPr>
        <w:t>BTS CCST  ·  ÉPREUVE E5  ·  SITUATION 2  ·  CAS 1 CARRELAGE</w:t>
      </w:r>
    </w:p>
    <w:p>
      <w:pPr>
        <w:spacing w:before="0" w:after="40"/>
      </w:pPr>
      <w:r>
        <w:rPr>
          <w:b/>
          <w:color w:val="14384A"/>
          <w:sz w:val="34"/>
        </w:rPr>
        <w:t>Corrigé formateur — les trois variantes</w:t>
      </w:r>
    </w:p>
    <w:p>
      <w:pPr>
        <w:spacing w:after="40" w:before="0"/>
      </w:pPr>
      <w:r>
        <w:rPr>
          <w:b w:val="0"/>
          <w:i/>
          <w:color w:val="5A6B74"/>
          <w:sz w:val="17"/>
        </w:rPr>
        <w:t xml:space="preserve">Document réservé au formateur. Il contient d'abord les </w:t>
      </w:r>
      <w:r>
        <w:rPr>
          <w:b/>
          <w:i/>
          <w:color w:val="5A6B74"/>
          <w:sz w:val="17"/>
        </w:rPr>
        <w:t>trois grilles d'analyse</w:t>
      </w:r>
      <w:r>
        <w:rPr>
          <w:b w:val="0"/>
          <w:i/>
          <w:color w:val="5A6B74"/>
          <w:sz w:val="17"/>
        </w:rPr>
        <w:t xml:space="preserve"> (une par variante, identiques), puis les corrigés : chiffres justes, séquence attendue, réponses recevables et fautives. Les grilles peuvent aussi être remises aux étudiants en auto-évaluation, après leur passage.</w:t>
      </w:r>
    </w:p>
    <w:p>
      <w:pPr>
        <w:pStyle w:val="Heading2"/>
      </w:pPr>
      <w:r>
        <w:t>Les trois grilles d'analyse</w:t>
      </w:r>
    </w:p>
    <w:p>
      <w:pPr>
        <w:keepNext/>
        <w:spacing w:before="120" w:after="20"/>
      </w:pPr>
      <w:r>
        <w:rPr>
          <w:b/>
          <w:color w:val="14384A"/>
          <w:sz w:val="17"/>
        </w:rPr>
        <w:t>Variante 1 — l'objection de prix</w:t>
      </w:r>
      <w:r>
        <w:rPr>
          <w:i/>
          <w:color w:val="8A9AA2"/>
          <w:sz w:val="15"/>
        </w:rPr>
        <w:t xml:space="preserve">      Candidat : ____________   Date : ____ / 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3D0D6"/>
          <w:left w:val="single" w:sz="4" w:space="0" w:color="C3D0D6"/>
          <w:bottom w:val="single" w:sz="4" w:space="0" w:color="C3D0D6"/>
          <w:right w:val="single" w:sz="4" w:space="0" w:color="C3D0D6"/>
          <w:insideH w:val="single" w:sz="4" w:space="0" w:color="C3D0D6"/>
          <w:insideV w:val="single" w:sz="4" w:space="0" w:color="C3D0D6"/>
        </w:tblBorders>
      </w:tblPr>
      <w:tblGrid>
        <w:gridCol w:w="2041"/>
        <w:gridCol w:w="4989"/>
        <w:gridCol w:w="737"/>
        <w:gridCol w:w="1077"/>
        <w:gridCol w:w="1134"/>
      </w:tblGrid>
      <w:tr>
        <w:trPr>
          <w:tblHeader/>
          <w:cantSplit/>
        </w:trPr>
        <w:tc>
          <w:tcPr>
            <w:tcW w:type="dxa" w:w="2041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Critère</w:t>
            </w:r>
          </w:p>
        </w:tc>
        <w:tc>
          <w:tcPr>
            <w:tcW w:type="dxa" w:w="4989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Ce qu'on observe</w:t>
            </w:r>
          </w:p>
        </w:tc>
        <w:tc>
          <w:tcPr>
            <w:tcW w:type="dxa" w:w="737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  <w:jc w:val="right"/>
            </w:pPr>
            <w:r/>
            <w:r>
              <w:rPr>
                <w:b/>
                <w:i w:val="0"/>
                <w:color w:val="FFFFFF"/>
                <w:sz w:val="15"/>
              </w:rPr>
              <w:t>Pts</w:t>
            </w:r>
          </w:p>
        </w:tc>
        <w:tc>
          <w:tcPr>
            <w:tcW w:type="dxa" w:w="1077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Acquis</w:t>
            </w:r>
          </w:p>
        </w:tc>
        <w:tc>
          <w:tcPr>
            <w:tcW w:type="dxa" w:w="1134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  <w:jc w:val="right"/>
            </w:pPr>
            <w:r/>
            <w:r>
              <w:rPr>
                <w:b/>
                <w:i w:val="0"/>
                <w:color w:val="FFFFFF"/>
                <w:sz w:val="15"/>
              </w:rPr>
              <w:t>Note</w:t>
            </w:r>
          </w:p>
        </w:tc>
      </w:tr>
      <w:tr>
        <w:trPr>
          <w:cantSplit/>
          <w:trHeight w:val="351" w:hRule="atLeast"/>
        </w:trPr>
        <w:tc>
          <w:tcPr>
            <w:tcW w:type="dxa" w:w="204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Les chiffres</w:t>
            </w:r>
          </w:p>
        </w:tc>
        <w:tc>
          <w:tcPr>
            <w:tcW w:type="dxa" w:w="4989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46,20 m² · 33 colis · 23,22 € TTC · 168,11 €</w:t>
            </w:r>
          </w:p>
        </w:tc>
        <w:tc>
          <w:tcPr>
            <w:tcW w:type="dxa" w:w="73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4</w:t>
            </w:r>
          </w:p>
        </w:tc>
        <w:tc>
          <w:tcPr>
            <w:tcW w:type="dxa" w:w="107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113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351" w:hRule="atLeast"/>
        </w:trPr>
        <w:tc>
          <w:tcPr>
            <w:tcW w:type="dxa" w:w="2041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L'écoute</w:t>
            </w:r>
          </w:p>
        </w:tc>
        <w:tc>
          <w:tcPr>
            <w:tcW w:type="dxa" w:w="4989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Il laisse finir, aucune défense dans les 10 premières secondes</w:t>
            </w:r>
          </w:p>
        </w:tc>
        <w:tc>
          <w:tcPr>
            <w:tcW w:type="dxa" w:w="73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3</w:t>
            </w:r>
          </w:p>
        </w:tc>
        <w:tc>
          <w:tcPr>
            <w:tcW w:type="dxa" w:w="107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113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351" w:hRule="atLeast"/>
        </w:trPr>
        <w:tc>
          <w:tcPr>
            <w:tcW w:type="dxa" w:w="204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La qualification</w:t>
            </w:r>
          </w:p>
        </w:tc>
        <w:tc>
          <w:tcPr>
            <w:tcW w:type="dxa" w:w="4989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Deux questions posées avant de répondre</w:t>
            </w:r>
          </w:p>
        </w:tc>
        <w:tc>
          <w:tcPr>
            <w:tcW w:type="dxa" w:w="73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3</w:t>
            </w:r>
          </w:p>
        </w:tc>
        <w:tc>
          <w:tcPr>
            <w:tcW w:type="dxa" w:w="107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113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351" w:hRule="atLeast"/>
        </w:trPr>
        <w:tc>
          <w:tcPr>
            <w:tcW w:type="dxa" w:w="2041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L'argumentation</w:t>
            </w:r>
          </w:p>
        </w:tc>
        <w:tc>
          <w:tcPr>
            <w:tcW w:type="dxa" w:w="4989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Deux arguments en CAP, chacun avec un chiffre</w:t>
            </w:r>
          </w:p>
        </w:tc>
        <w:tc>
          <w:tcPr>
            <w:tcW w:type="dxa" w:w="73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4</w:t>
            </w:r>
          </w:p>
        </w:tc>
        <w:tc>
          <w:tcPr>
            <w:tcW w:type="dxa" w:w="107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113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351" w:hRule="atLeast"/>
        </w:trPr>
        <w:tc>
          <w:tcPr>
            <w:tcW w:type="dxa" w:w="204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Le traitement de l'objection</w:t>
            </w:r>
          </w:p>
        </w:tc>
        <w:tc>
          <w:tcPr>
            <w:tcW w:type="dxa" w:w="4989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Reformulée, puis traitée sans contredire ni s'aligner</w:t>
            </w:r>
          </w:p>
        </w:tc>
        <w:tc>
          <w:tcPr>
            <w:tcW w:type="dxa" w:w="73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3</w:t>
            </w:r>
          </w:p>
        </w:tc>
        <w:tc>
          <w:tcPr>
            <w:tcW w:type="dxa" w:w="107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113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351" w:hRule="atLeast"/>
        </w:trPr>
        <w:tc>
          <w:tcPr>
            <w:tcW w:type="dxa" w:w="2041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La conclusion</w:t>
            </w:r>
          </w:p>
        </w:tc>
        <w:tc>
          <w:tcPr>
            <w:tcW w:type="dxa" w:w="4989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Un engagement daté : bon, heure, acompte ou accord écrit</w:t>
            </w:r>
          </w:p>
        </w:tc>
        <w:tc>
          <w:tcPr>
            <w:tcW w:type="dxa" w:w="73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3</w:t>
            </w:r>
          </w:p>
        </w:tc>
        <w:tc>
          <w:tcPr>
            <w:tcW w:type="dxa" w:w="107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113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351" w:hRule="atLeast"/>
        </w:trPr>
        <w:tc>
          <w:tcPr>
            <w:tcW w:type="dxa" w:w="204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5"/>
              </w:rPr>
              <w:t>Total</w:t>
            </w:r>
          </w:p>
        </w:tc>
        <w:tc>
          <w:tcPr>
            <w:tcW w:type="dxa" w:w="4989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73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/>
                <w:i w:val="0"/>
                <w:sz w:val="15"/>
              </w:rPr>
              <w:t>20</w:t>
            </w:r>
          </w:p>
        </w:tc>
        <w:tc>
          <w:tcPr>
            <w:tcW w:type="dxa" w:w="107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113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</w:tbl>
    <w:p>
      <w:pPr>
        <w:spacing w:before="0" w:after="0" w:line="60" w:lineRule="exact"/>
      </w:pPr>
      <w:r>
        <w:rPr>
          <w:sz w:val="4"/>
        </w:rPr>
      </w:r>
    </w:p>
    <w:p>
      <w:pPr>
        <w:keepNext/>
        <w:spacing w:before="120" w:after="20"/>
      </w:pPr>
      <w:r>
        <w:rPr>
          <w:b/>
          <w:color w:val="14384A"/>
          <w:sz w:val="17"/>
        </w:rPr>
        <w:t>Variante 2 — l'objection de délai</w:t>
      </w:r>
      <w:r>
        <w:rPr>
          <w:i/>
          <w:color w:val="8A9AA2"/>
          <w:sz w:val="15"/>
        </w:rPr>
        <w:t xml:space="preserve">      Candidat : ____________   Date : ____ / 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3D0D6"/>
          <w:left w:val="single" w:sz="4" w:space="0" w:color="C3D0D6"/>
          <w:bottom w:val="single" w:sz="4" w:space="0" w:color="C3D0D6"/>
          <w:right w:val="single" w:sz="4" w:space="0" w:color="C3D0D6"/>
          <w:insideH w:val="single" w:sz="4" w:space="0" w:color="C3D0D6"/>
          <w:insideV w:val="single" w:sz="4" w:space="0" w:color="C3D0D6"/>
        </w:tblBorders>
      </w:tblPr>
      <w:tblGrid>
        <w:gridCol w:w="2041"/>
        <w:gridCol w:w="4989"/>
        <w:gridCol w:w="737"/>
        <w:gridCol w:w="1077"/>
        <w:gridCol w:w="1134"/>
      </w:tblGrid>
      <w:tr>
        <w:trPr>
          <w:tblHeader/>
          <w:cantSplit/>
        </w:trPr>
        <w:tc>
          <w:tcPr>
            <w:tcW w:type="dxa" w:w="2041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Critère</w:t>
            </w:r>
          </w:p>
        </w:tc>
        <w:tc>
          <w:tcPr>
            <w:tcW w:type="dxa" w:w="4989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Ce qu'on observe</w:t>
            </w:r>
          </w:p>
        </w:tc>
        <w:tc>
          <w:tcPr>
            <w:tcW w:type="dxa" w:w="737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  <w:jc w:val="right"/>
            </w:pPr>
            <w:r/>
            <w:r>
              <w:rPr>
                <w:b/>
                <w:i w:val="0"/>
                <w:color w:val="FFFFFF"/>
                <w:sz w:val="15"/>
              </w:rPr>
              <w:t>Pts</w:t>
            </w:r>
          </w:p>
        </w:tc>
        <w:tc>
          <w:tcPr>
            <w:tcW w:type="dxa" w:w="1077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Acquis</w:t>
            </w:r>
          </w:p>
        </w:tc>
        <w:tc>
          <w:tcPr>
            <w:tcW w:type="dxa" w:w="1134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  <w:jc w:val="right"/>
            </w:pPr>
            <w:r/>
            <w:r>
              <w:rPr>
                <w:b/>
                <w:i w:val="0"/>
                <w:color w:val="FFFFFF"/>
                <w:sz w:val="15"/>
              </w:rPr>
              <w:t>Note</w:t>
            </w:r>
          </w:p>
        </w:tc>
      </w:tr>
      <w:tr>
        <w:trPr>
          <w:cantSplit/>
          <w:trHeight w:val="351" w:hRule="atLeast"/>
        </w:trPr>
        <w:tc>
          <w:tcPr>
            <w:tcW w:type="dxa" w:w="204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Les chiffres</w:t>
            </w:r>
          </w:p>
        </w:tc>
        <w:tc>
          <w:tcPr>
            <w:tcW w:type="dxa" w:w="4989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46,20 m² · 33 colis · 23,22 € TTC · 168,11 €</w:t>
            </w:r>
          </w:p>
        </w:tc>
        <w:tc>
          <w:tcPr>
            <w:tcW w:type="dxa" w:w="73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4</w:t>
            </w:r>
          </w:p>
        </w:tc>
        <w:tc>
          <w:tcPr>
            <w:tcW w:type="dxa" w:w="107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113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351" w:hRule="atLeast"/>
        </w:trPr>
        <w:tc>
          <w:tcPr>
            <w:tcW w:type="dxa" w:w="2041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L'écoute</w:t>
            </w:r>
          </w:p>
        </w:tc>
        <w:tc>
          <w:tcPr>
            <w:tcW w:type="dxa" w:w="4989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Il laisse finir, aucune défense dans les 10 premières secondes</w:t>
            </w:r>
          </w:p>
        </w:tc>
        <w:tc>
          <w:tcPr>
            <w:tcW w:type="dxa" w:w="73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3</w:t>
            </w:r>
          </w:p>
        </w:tc>
        <w:tc>
          <w:tcPr>
            <w:tcW w:type="dxa" w:w="107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113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351" w:hRule="atLeast"/>
        </w:trPr>
        <w:tc>
          <w:tcPr>
            <w:tcW w:type="dxa" w:w="204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La qualification</w:t>
            </w:r>
          </w:p>
        </w:tc>
        <w:tc>
          <w:tcPr>
            <w:tcW w:type="dxa" w:w="4989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Deux questions posées avant de répondre</w:t>
            </w:r>
          </w:p>
        </w:tc>
        <w:tc>
          <w:tcPr>
            <w:tcW w:type="dxa" w:w="73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3</w:t>
            </w:r>
          </w:p>
        </w:tc>
        <w:tc>
          <w:tcPr>
            <w:tcW w:type="dxa" w:w="107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113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351" w:hRule="atLeast"/>
        </w:trPr>
        <w:tc>
          <w:tcPr>
            <w:tcW w:type="dxa" w:w="2041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L'argumentation</w:t>
            </w:r>
          </w:p>
        </w:tc>
        <w:tc>
          <w:tcPr>
            <w:tcW w:type="dxa" w:w="4989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Deux arguments en CAP, chacun avec un chiffre</w:t>
            </w:r>
          </w:p>
        </w:tc>
        <w:tc>
          <w:tcPr>
            <w:tcW w:type="dxa" w:w="73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4</w:t>
            </w:r>
          </w:p>
        </w:tc>
        <w:tc>
          <w:tcPr>
            <w:tcW w:type="dxa" w:w="107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113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351" w:hRule="atLeast"/>
        </w:trPr>
        <w:tc>
          <w:tcPr>
            <w:tcW w:type="dxa" w:w="204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Le traitement de l'objection</w:t>
            </w:r>
          </w:p>
        </w:tc>
        <w:tc>
          <w:tcPr>
            <w:tcW w:type="dxa" w:w="4989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Reformulée, puis traitée sans contredire ni s'aligner</w:t>
            </w:r>
          </w:p>
        </w:tc>
        <w:tc>
          <w:tcPr>
            <w:tcW w:type="dxa" w:w="73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3</w:t>
            </w:r>
          </w:p>
        </w:tc>
        <w:tc>
          <w:tcPr>
            <w:tcW w:type="dxa" w:w="107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113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351" w:hRule="atLeast"/>
        </w:trPr>
        <w:tc>
          <w:tcPr>
            <w:tcW w:type="dxa" w:w="2041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La conclusion</w:t>
            </w:r>
          </w:p>
        </w:tc>
        <w:tc>
          <w:tcPr>
            <w:tcW w:type="dxa" w:w="4989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Un engagement daté : bon, heure, acompte ou accord écrit</w:t>
            </w:r>
          </w:p>
        </w:tc>
        <w:tc>
          <w:tcPr>
            <w:tcW w:type="dxa" w:w="73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3</w:t>
            </w:r>
          </w:p>
        </w:tc>
        <w:tc>
          <w:tcPr>
            <w:tcW w:type="dxa" w:w="107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113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351" w:hRule="atLeast"/>
        </w:trPr>
        <w:tc>
          <w:tcPr>
            <w:tcW w:type="dxa" w:w="204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5"/>
              </w:rPr>
              <w:t>Total</w:t>
            </w:r>
          </w:p>
        </w:tc>
        <w:tc>
          <w:tcPr>
            <w:tcW w:type="dxa" w:w="4989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73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/>
                <w:i w:val="0"/>
                <w:sz w:val="15"/>
              </w:rPr>
              <w:t>20</w:t>
            </w:r>
          </w:p>
        </w:tc>
        <w:tc>
          <w:tcPr>
            <w:tcW w:type="dxa" w:w="107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113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</w:tbl>
    <w:p>
      <w:pPr>
        <w:spacing w:before="0" w:after="0" w:line="60" w:lineRule="exact"/>
      </w:pPr>
      <w:r>
        <w:rPr>
          <w:sz w:val="4"/>
        </w:rPr>
      </w:r>
    </w:p>
    <w:p>
      <w:pPr>
        <w:keepNext/>
        <w:spacing w:before="120" w:after="20"/>
      </w:pPr>
      <w:r>
        <w:rPr>
          <w:b/>
          <w:color w:val="14384A"/>
          <w:sz w:val="17"/>
        </w:rPr>
        <w:t>Variante 3 — le risque client et le risque affaire</w:t>
      </w:r>
      <w:r>
        <w:rPr>
          <w:i/>
          <w:color w:val="8A9AA2"/>
          <w:sz w:val="15"/>
        </w:rPr>
        <w:t xml:space="preserve">      Candidat : ____________   Date : ____ / 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3D0D6"/>
          <w:left w:val="single" w:sz="4" w:space="0" w:color="C3D0D6"/>
          <w:bottom w:val="single" w:sz="4" w:space="0" w:color="C3D0D6"/>
          <w:right w:val="single" w:sz="4" w:space="0" w:color="C3D0D6"/>
          <w:insideH w:val="single" w:sz="4" w:space="0" w:color="C3D0D6"/>
          <w:insideV w:val="single" w:sz="4" w:space="0" w:color="C3D0D6"/>
        </w:tblBorders>
      </w:tblPr>
      <w:tblGrid>
        <w:gridCol w:w="2041"/>
        <w:gridCol w:w="4989"/>
        <w:gridCol w:w="737"/>
        <w:gridCol w:w="1077"/>
        <w:gridCol w:w="1134"/>
      </w:tblGrid>
      <w:tr>
        <w:trPr>
          <w:tblHeader/>
          <w:cantSplit/>
        </w:trPr>
        <w:tc>
          <w:tcPr>
            <w:tcW w:type="dxa" w:w="2041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Critère</w:t>
            </w:r>
          </w:p>
        </w:tc>
        <w:tc>
          <w:tcPr>
            <w:tcW w:type="dxa" w:w="4989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Ce qu'on observe</w:t>
            </w:r>
          </w:p>
        </w:tc>
        <w:tc>
          <w:tcPr>
            <w:tcW w:type="dxa" w:w="737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  <w:jc w:val="right"/>
            </w:pPr>
            <w:r/>
            <w:r>
              <w:rPr>
                <w:b/>
                <w:i w:val="0"/>
                <w:color w:val="FFFFFF"/>
                <w:sz w:val="15"/>
              </w:rPr>
              <w:t>Pts</w:t>
            </w:r>
          </w:p>
        </w:tc>
        <w:tc>
          <w:tcPr>
            <w:tcW w:type="dxa" w:w="1077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Acquis</w:t>
            </w:r>
          </w:p>
        </w:tc>
        <w:tc>
          <w:tcPr>
            <w:tcW w:type="dxa" w:w="1134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  <w:jc w:val="right"/>
            </w:pPr>
            <w:r/>
            <w:r>
              <w:rPr>
                <w:b/>
                <w:i w:val="0"/>
                <w:color w:val="FFFFFF"/>
                <w:sz w:val="15"/>
              </w:rPr>
              <w:t>Note</w:t>
            </w:r>
          </w:p>
        </w:tc>
      </w:tr>
      <w:tr>
        <w:trPr>
          <w:cantSplit/>
          <w:trHeight w:val="351" w:hRule="atLeast"/>
        </w:trPr>
        <w:tc>
          <w:tcPr>
            <w:tcW w:type="dxa" w:w="204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Les chiffres</w:t>
            </w:r>
          </w:p>
        </w:tc>
        <w:tc>
          <w:tcPr>
            <w:tcW w:type="dxa" w:w="4989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46,20 m² · 33 colis · 23,22 € TTC · 168,11 €</w:t>
            </w:r>
          </w:p>
        </w:tc>
        <w:tc>
          <w:tcPr>
            <w:tcW w:type="dxa" w:w="73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4</w:t>
            </w:r>
          </w:p>
        </w:tc>
        <w:tc>
          <w:tcPr>
            <w:tcW w:type="dxa" w:w="107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113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351" w:hRule="atLeast"/>
        </w:trPr>
        <w:tc>
          <w:tcPr>
            <w:tcW w:type="dxa" w:w="2041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L'écoute</w:t>
            </w:r>
          </w:p>
        </w:tc>
        <w:tc>
          <w:tcPr>
            <w:tcW w:type="dxa" w:w="4989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Il laisse finir, aucune défense dans les 10 premières secondes</w:t>
            </w:r>
          </w:p>
        </w:tc>
        <w:tc>
          <w:tcPr>
            <w:tcW w:type="dxa" w:w="73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3</w:t>
            </w:r>
          </w:p>
        </w:tc>
        <w:tc>
          <w:tcPr>
            <w:tcW w:type="dxa" w:w="107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113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351" w:hRule="atLeast"/>
        </w:trPr>
        <w:tc>
          <w:tcPr>
            <w:tcW w:type="dxa" w:w="204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La qualification</w:t>
            </w:r>
          </w:p>
        </w:tc>
        <w:tc>
          <w:tcPr>
            <w:tcW w:type="dxa" w:w="4989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Deux questions posées avant de répondre</w:t>
            </w:r>
          </w:p>
        </w:tc>
        <w:tc>
          <w:tcPr>
            <w:tcW w:type="dxa" w:w="73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3</w:t>
            </w:r>
          </w:p>
        </w:tc>
        <w:tc>
          <w:tcPr>
            <w:tcW w:type="dxa" w:w="107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113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351" w:hRule="atLeast"/>
        </w:trPr>
        <w:tc>
          <w:tcPr>
            <w:tcW w:type="dxa" w:w="2041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L'argumentation</w:t>
            </w:r>
          </w:p>
        </w:tc>
        <w:tc>
          <w:tcPr>
            <w:tcW w:type="dxa" w:w="4989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Deux arguments en CAP, chacun avec un chiffre</w:t>
            </w:r>
          </w:p>
        </w:tc>
        <w:tc>
          <w:tcPr>
            <w:tcW w:type="dxa" w:w="73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4</w:t>
            </w:r>
          </w:p>
        </w:tc>
        <w:tc>
          <w:tcPr>
            <w:tcW w:type="dxa" w:w="107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113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351" w:hRule="atLeast"/>
        </w:trPr>
        <w:tc>
          <w:tcPr>
            <w:tcW w:type="dxa" w:w="204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Le traitement de l'objection</w:t>
            </w:r>
          </w:p>
        </w:tc>
        <w:tc>
          <w:tcPr>
            <w:tcW w:type="dxa" w:w="4989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Reformulée, puis traitée sans contredire ni s'aligner</w:t>
            </w:r>
          </w:p>
        </w:tc>
        <w:tc>
          <w:tcPr>
            <w:tcW w:type="dxa" w:w="73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3</w:t>
            </w:r>
          </w:p>
        </w:tc>
        <w:tc>
          <w:tcPr>
            <w:tcW w:type="dxa" w:w="107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113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351" w:hRule="atLeast"/>
        </w:trPr>
        <w:tc>
          <w:tcPr>
            <w:tcW w:type="dxa" w:w="2041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La conclusion</w:t>
            </w:r>
          </w:p>
        </w:tc>
        <w:tc>
          <w:tcPr>
            <w:tcW w:type="dxa" w:w="4989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Un engagement daté : bon, heure, acompte ou accord écrit</w:t>
            </w:r>
          </w:p>
        </w:tc>
        <w:tc>
          <w:tcPr>
            <w:tcW w:type="dxa" w:w="73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3</w:t>
            </w:r>
          </w:p>
        </w:tc>
        <w:tc>
          <w:tcPr>
            <w:tcW w:type="dxa" w:w="107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113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351" w:hRule="atLeast"/>
        </w:trPr>
        <w:tc>
          <w:tcPr>
            <w:tcW w:type="dxa" w:w="204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5"/>
              </w:rPr>
              <w:t>Total</w:t>
            </w:r>
          </w:p>
        </w:tc>
        <w:tc>
          <w:tcPr>
            <w:tcW w:type="dxa" w:w="4989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73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/>
                <w:i w:val="0"/>
                <w:sz w:val="15"/>
              </w:rPr>
              <w:t>20</w:t>
            </w:r>
          </w:p>
        </w:tc>
        <w:tc>
          <w:tcPr>
            <w:tcW w:type="dxa" w:w="107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113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</w:tbl>
    <w:p>
      <w:pPr>
        <w:spacing w:before="0" w:after="0" w:line="60" w:lineRule="exact"/>
      </w:pPr>
      <w:r>
        <w:rPr>
          <w:sz w:val="4"/>
        </w:rPr>
      </w:r>
    </w:p>
    <w:p>
      <w:pPr>
        <w:spacing w:after="40"/>
      </w:pPr>
      <w:r>
        <w:rPr>
          <w:b w:val="0"/>
          <w:i/>
          <w:color w:val="6B7C85"/>
          <w:sz w:val="15"/>
        </w:rPr>
        <w:t>Une seule grille pour les trois variantes : seuls les attendus changent, pas les critères. Le total est sur 20 ; la note se lit directement.</w:t>
      </w:r>
    </w:p>
    <w:p>
      <w:pPr>
        <w:keepNext/>
        <w:pageBreakBefore/>
        <w:spacing w:before="40" w:after="20"/>
      </w:pPr>
      <w:r>
        <w:rPr>
          <w:b/>
          <w:color w:val="B4522C"/>
          <w:sz w:val="15"/>
          <w:spacing w:val="40"/>
        </w:rPr>
        <w:t>CORRIGÉ</w:t>
      </w:r>
    </w:p>
    <w:p>
      <w:pPr>
        <w:pStyle w:val="Heading1"/>
        <w:pBdr>
          <w:bottom w:val="single" w:sz="10" w:space="5" w:color="14384A"/>
        </w:pBdr>
      </w:pPr>
      <w:r>
        <w:t>Les chiffres du dossier — communs aux trois variantes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3D0D6"/>
          <w:left w:val="single" w:sz="4" w:space="0" w:color="C3D0D6"/>
          <w:bottom w:val="single" w:sz="4" w:space="0" w:color="C3D0D6"/>
          <w:right w:val="single" w:sz="4" w:space="0" w:color="C3D0D6"/>
          <w:insideH w:val="single" w:sz="4" w:space="0" w:color="C3D0D6"/>
          <w:insideV w:val="single" w:sz="4" w:space="0" w:color="C3D0D6"/>
        </w:tblBorders>
      </w:tblPr>
      <w:tblGrid>
        <w:gridCol w:w="3288"/>
        <w:gridCol w:w="4082"/>
        <w:gridCol w:w="2608"/>
      </w:tblGrid>
      <w:tr>
        <w:trPr>
          <w:tblHeader/>
          <w:cantSplit/>
        </w:trPr>
        <w:tc>
          <w:tcPr>
            <w:tcW w:type="dxa" w:w="3288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6"/>
              </w:rPr>
              <w:t>Ce qu'il faut trouver</w:t>
            </w:r>
          </w:p>
        </w:tc>
        <w:tc>
          <w:tcPr>
            <w:tcW w:type="dxa" w:w="4082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6"/>
              </w:rPr>
              <w:t>Calcul</w:t>
            </w:r>
          </w:p>
        </w:tc>
        <w:tc>
          <w:tcPr>
            <w:tcW w:type="dxa" w:w="2608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6"/>
              </w:rPr>
              <w:t>Résultat</w:t>
            </w:r>
          </w:p>
        </w:tc>
      </w:tr>
      <w:tr>
        <w:trPr>
          <w:cantSplit/>
        </w:trPr>
        <w:tc>
          <w:tcPr>
            <w:tcW w:type="dxa" w:w="3288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Surface utile</w:t>
            </w:r>
          </w:p>
        </w:tc>
        <w:tc>
          <w:tcPr>
            <w:tcW w:type="dxa" w:w="4082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42 m² + 10 % de chutes</w:t>
            </w:r>
          </w:p>
        </w:tc>
        <w:tc>
          <w:tcPr>
            <w:tcW w:type="dxa" w:w="2608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46,20 m²</w:t>
            </w:r>
          </w:p>
        </w:tc>
      </w:tr>
      <w:tr>
        <w:trPr>
          <w:cantSplit/>
        </w:trPr>
        <w:tc>
          <w:tcPr>
            <w:tcW w:type="dxa" w:w="3288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Nombre de colis</w:t>
            </w:r>
          </w:p>
        </w:tc>
        <w:tc>
          <w:tcPr>
            <w:tcW w:type="dxa" w:w="4082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46,20 ÷ 1,44 = 32,08 → colis supérieur</w:t>
            </w:r>
          </w:p>
        </w:tc>
        <w:tc>
          <w:tcPr>
            <w:tcW w:type="dxa" w:w="2608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33 colis</w:t>
            </w:r>
          </w:p>
        </w:tc>
      </w:tr>
      <w:tr>
        <w:trPr>
          <w:cantSplit/>
        </w:trPr>
        <w:tc>
          <w:tcPr>
            <w:tcW w:type="dxa" w:w="3288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Surface facturée</w:t>
            </w:r>
          </w:p>
        </w:tc>
        <w:tc>
          <w:tcPr>
            <w:tcW w:type="dxa" w:w="4082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33 × 1,44</w:t>
            </w:r>
          </w:p>
        </w:tc>
        <w:tc>
          <w:tcPr>
            <w:tcW w:type="dxa" w:w="2608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47,52 m²</w:t>
            </w:r>
          </w:p>
        </w:tc>
      </w:tr>
      <w:tr>
        <w:trPr>
          <w:cantSplit/>
        </w:trPr>
        <w:tc>
          <w:tcPr>
            <w:tcW w:type="dxa" w:w="3288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Prix au m² après remise</w:t>
            </w:r>
          </w:p>
        </w:tc>
        <w:tc>
          <w:tcPr>
            <w:tcW w:type="dxa" w:w="4082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21,50 × 0,90</w:t>
            </w:r>
          </w:p>
        </w:tc>
        <w:tc>
          <w:tcPr>
            <w:tcW w:type="dxa" w:w="2608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19,35 € HT</w:t>
            </w:r>
          </w:p>
        </w:tc>
      </w:tr>
      <w:tr>
        <w:trPr>
          <w:cantSplit/>
        </w:trPr>
        <w:tc>
          <w:tcPr>
            <w:tcW w:type="dxa" w:w="3288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Prix au m² TTC</w:t>
            </w:r>
          </w:p>
        </w:tc>
        <w:tc>
          <w:tcPr>
            <w:tcW w:type="dxa" w:w="4082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19,35 × 1,20</w:t>
            </w:r>
          </w:p>
        </w:tc>
        <w:tc>
          <w:tcPr>
            <w:tcW w:type="dxa" w:w="2608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23,22 € TTC</w:t>
            </w:r>
          </w:p>
        </w:tc>
      </w:tr>
      <w:tr>
        <w:trPr>
          <w:cantSplit/>
        </w:trPr>
        <w:tc>
          <w:tcPr>
            <w:tcW w:type="dxa" w:w="3288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Total PONANT</w:t>
            </w:r>
          </w:p>
        </w:tc>
        <w:tc>
          <w:tcPr>
            <w:tcW w:type="dxa" w:w="4082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47,52 × 19,35 = 919,51 HT → × 1,20</w:t>
            </w:r>
          </w:p>
        </w:tc>
        <w:tc>
          <w:tcPr>
            <w:tcW w:type="dxa" w:w="2608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1 103,41 € TTC</w:t>
            </w:r>
          </w:p>
        </w:tc>
      </w:tr>
      <w:tr>
        <w:trPr>
          <w:cantSplit/>
        </w:trPr>
        <w:tc>
          <w:tcPr>
            <w:tcW w:type="dxa" w:w="3288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Total Leroy Merlin</w:t>
            </w:r>
          </w:p>
        </w:tc>
        <w:tc>
          <w:tcPr>
            <w:tcW w:type="dxa" w:w="4082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47 m² × 19,90</w:t>
            </w:r>
          </w:p>
        </w:tc>
        <w:tc>
          <w:tcPr>
            <w:tcW w:type="dxa" w:w="2608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935,30 € TTC</w:t>
            </w:r>
          </w:p>
        </w:tc>
      </w:tr>
      <w:tr>
        <w:trPr>
          <w:cantSplit/>
        </w:trPr>
        <w:tc>
          <w:tcPr>
            <w:tcW w:type="dxa" w:w="3288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Écart réel</w:t>
            </w:r>
          </w:p>
        </w:tc>
        <w:tc>
          <w:tcPr>
            <w:tcW w:type="dxa" w:w="4082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1 103,41 − 935,30</w:t>
            </w:r>
          </w:p>
        </w:tc>
        <w:tc>
          <w:tcPr>
            <w:tcW w:type="dxa" w:w="2608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168,11 € TTC</w:t>
            </w:r>
          </w:p>
        </w:tc>
      </w:tr>
      <w:tr>
        <w:trPr>
          <w:cantSplit/>
        </w:trPr>
        <w:tc>
          <w:tcPr>
            <w:tcW w:type="dxa" w:w="3288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TVA à avancer sur la commande</w:t>
            </w:r>
          </w:p>
        </w:tc>
        <w:tc>
          <w:tcPr>
            <w:tcW w:type="dxa" w:w="4082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1 103,41 − 919,51</w:t>
            </w:r>
          </w:p>
        </w:tc>
        <w:tc>
          <w:tcPr>
            <w:tcW w:type="dxa" w:w="2608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183,90 €</w:t>
            </w:r>
          </w:p>
        </w:tc>
      </w:tr>
      <w:tr>
        <w:trPr>
          <w:cantSplit/>
        </w:trPr>
        <w:tc>
          <w:tcPr>
            <w:tcW w:type="dxa" w:w="3288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Valeur d'une journée de pose</w:t>
            </w:r>
          </w:p>
        </w:tc>
        <w:tc>
          <w:tcPr>
            <w:tcW w:type="dxa" w:w="4082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8 h × 45 €/h</w:t>
            </w:r>
          </w:p>
        </w:tc>
        <w:tc>
          <w:tcPr>
            <w:tcW w:type="dxa" w:w="2608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360 €</w:t>
            </w:r>
          </w:p>
        </w:tc>
      </w:tr>
      <w:tr>
        <w:trPr>
          <w:cantSplit/>
        </w:trPr>
        <w:tc>
          <w:tcPr>
            <w:tcW w:type="dxa" w:w="3288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Remise maximale du dépôt</w:t>
            </w:r>
          </w:p>
        </w:tc>
        <w:tc>
          <w:tcPr>
            <w:tcW w:type="dxa" w:w="4082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plafond du chef de dépôt</w:t>
            </w:r>
          </w:p>
        </w:tc>
        <w:tc>
          <w:tcPr>
            <w:tcW w:type="dxa" w:w="2608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3 %</w:t>
            </w:r>
          </w:p>
        </w:tc>
      </w:tr>
    </w:tbl>
    <w:p>
      <w:pPr>
        <w:spacing w:before="0" w:after="0" w:line="60" w:lineRule="exact"/>
      </w:pPr>
      <w:r>
        <w:rPr>
          <w:sz w:val="4"/>
        </w:rPr>
      </w:r>
    </w:p>
    <w:p>
      <w:pPr>
        <w:keepNext/>
        <w:spacing w:before="40" w:after="20"/>
      </w:pPr>
      <w:r>
        <w:rPr>
          <w:b/>
          <w:color w:val="B4522C"/>
          <w:sz w:val="15"/>
          <w:spacing w:val="40"/>
        </w:rPr>
        <w:t>CORRIGÉ</w:t>
      </w:r>
    </w:p>
    <w:p>
      <w:pPr>
        <w:pStyle w:val="Heading1"/>
        <w:pBdr>
          <w:bottom w:val="single" w:sz="10" w:space="5" w:color="14384A"/>
        </w:pBdr>
      </w:pPr>
      <w:r>
        <w:t>Variante 1 — l'objection de prix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3D0D6"/>
          <w:left w:val="single" w:sz="4" w:space="0" w:color="C3D0D6"/>
          <w:bottom w:val="single" w:sz="4" w:space="0" w:color="C3D0D6"/>
          <w:right w:val="single" w:sz="4" w:space="0" w:color="C3D0D6"/>
          <w:insideH w:val="single" w:sz="4" w:space="0" w:color="C3D0D6"/>
          <w:insideV w:val="single" w:sz="4" w:space="0" w:color="C3D0D6"/>
        </w:tblBorders>
      </w:tblPr>
      <w:tblGrid>
        <w:gridCol w:w="1587"/>
        <w:gridCol w:w="5669"/>
        <w:gridCol w:w="3288"/>
      </w:tblGrid>
      <w:tr>
        <w:trPr>
          <w:tblHeader/>
          <w:cantSplit/>
        </w:trPr>
        <w:tc>
          <w:tcPr>
            <w:tcW w:type="dxa" w:w="1587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6"/>
              </w:rPr>
              <w:t>Étape</w:t>
            </w:r>
          </w:p>
        </w:tc>
        <w:tc>
          <w:tcPr>
            <w:tcW w:type="dxa" w:w="5669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6"/>
              </w:rPr>
              <w:t>Ce que le vendeur doit dire</w:t>
            </w:r>
          </w:p>
        </w:tc>
        <w:tc>
          <w:tcPr>
            <w:tcW w:type="dxa" w:w="3288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6"/>
              </w:rPr>
              <w:t>Pourquoi</w:t>
            </w:r>
          </w:p>
        </w:tc>
      </w:tr>
      <w:tr>
        <w:trPr>
          <w:cantSplit/>
        </w:trPr>
        <w:tc>
          <w:tcPr>
            <w:tcW w:type="dxa" w:w="158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Accueil</w:t>
            </w:r>
          </w:p>
        </w:tc>
        <w:tc>
          <w:tcPr>
            <w:tcW w:type="dxa" w:w="5669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« 3 € du mètre sur 47 m², je comprends. Asseyez-vous, je vous montre un chiffre. »</w:t>
            </w:r>
          </w:p>
        </w:tc>
        <w:tc>
          <w:tcPr>
            <w:tcW w:type="dxa" w:w="3288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Il reconnaît le montant. Il ne le minimise pas, il ne se défend pas.</w:t>
            </w:r>
          </w:p>
        </w:tc>
      </w:tr>
      <w:tr>
        <w:trPr>
          <w:cantSplit/>
        </w:trPr>
        <w:tc>
          <w:tcPr>
            <w:tcW w:type="dxa" w:w="158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Découverte</w:t>
            </w:r>
          </w:p>
        </w:tc>
        <w:tc>
          <w:tcPr>
            <w:tcW w:type="dxa" w:w="5669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« Vous avez combien de m² exactement à poser ? Et le 19,90 chez Leroy, il est TTC ? »</w:t>
            </w:r>
          </w:p>
        </w:tc>
        <w:tc>
          <w:tcPr>
            <w:tcW w:type="dxa" w:w="3288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Il fait dire la surface réelle et il vérifie la base de comparaison.</w:t>
            </w:r>
          </w:p>
        </w:tc>
      </w:tr>
      <w:tr>
        <w:trPr>
          <w:cantSplit/>
        </w:trPr>
        <w:tc>
          <w:tcPr>
            <w:tcW w:type="dxa" w:w="158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Reformulation</w:t>
            </w:r>
          </w:p>
        </w:tc>
        <w:tc>
          <w:tcPr>
            <w:tcW w:type="dxa" w:w="5669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« Donc si je résume : il vous faut 47 m², et ce qui vous bloque c'est 168 € d'écart. »</w:t>
            </w:r>
          </w:p>
        </w:tc>
        <w:tc>
          <w:tcPr>
            <w:tcW w:type="dxa" w:w="3288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L'objection est posée en euros, plus en prix au m².</w:t>
            </w:r>
          </w:p>
        </w:tc>
      </w:tr>
      <w:tr>
        <w:trPr>
          <w:cantSplit/>
        </w:trPr>
        <w:tc>
          <w:tcPr>
            <w:tcW w:type="dxa" w:w="158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Argumentation</w:t>
            </w:r>
          </w:p>
        </w:tc>
        <w:tc>
          <w:tcPr>
            <w:tcW w:type="dxa" w:w="5669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« 42 m² plus 10 % de chutes, ça fait 46,20. En colis de 1,44, il vous en faut 33. À 23,22 TTC, 1 103 €. »</w:t>
            </w:r>
          </w:p>
        </w:tc>
        <w:tc>
          <w:tcPr>
            <w:tcW w:type="dxa" w:w="3288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Le calcul est posé devant lui : il peut le refaire.</w:t>
            </w:r>
          </w:p>
        </w:tc>
      </w:tr>
      <w:tr>
        <w:trPr>
          <w:cantSplit/>
        </w:trPr>
        <w:tc>
          <w:tcPr>
            <w:tcW w:type="dxa" w:w="158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Objection</w:t>
            </w:r>
          </w:p>
        </w:tc>
        <w:tc>
          <w:tcPr>
            <w:tcW w:type="dxa" w:w="5669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« Le mien est rectifié, joint de 2 mm. Sur 42 m², vous posez en 3 jours au lieu de 4 : une journée, c'est 360 €. »</w:t>
            </w:r>
          </w:p>
        </w:tc>
        <w:tc>
          <w:tcPr>
            <w:tcW w:type="dxa" w:w="3288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CAP complet, et la preuve dépasse l'écart de 168,11 €.</w:t>
            </w:r>
          </w:p>
        </w:tc>
      </w:tr>
      <w:tr>
        <w:trPr>
          <w:cantSplit/>
        </w:trPr>
        <w:tc>
          <w:tcPr>
            <w:tcW w:type="dxa" w:w="158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Conclusion</w:t>
            </w:r>
          </w:p>
        </w:tc>
        <w:tc>
          <w:tcPr>
            <w:tcW w:type="dxa" w:w="5669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« On part là-dessus ? Je vous sors le bon, chargement vendredi 10 h. »</w:t>
            </w:r>
          </w:p>
        </w:tc>
        <w:tc>
          <w:tcPr>
            <w:tcW w:type="dxa" w:w="3288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Une date et une heure. Pas « je vous rappelle ».</w:t>
            </w:r>
          </w:p>
        </w:tc>
      </w:tr>
    </w:tbl>
    <w:p>
      <w:pPr>
        <w:spacing w:before="0" w:after="0" w:line="60" w:lineRule="exact"/>
      </w:pPr>
      <w:r>
        <w:rPr>
          <w:sz w:val="4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3D0D6"/>
          <w:left w:val="single" w:sz="4" w:space="0" w:color="C3D0D6"/>
          <w:bottom w:val="single" w:sz="4" w:space="0" w:color="C3D0D6"/>
          <w:right w:val="single" w:sz="4" w:space="0" w:color="C3D0D6"/>
          <w:insideH w:val="single" w:sz="4" w:space="0" w:color="C3D0D6"/>
          <w:insideV w:val="single" w:sz="4" w:space="0" w:color="C3D0D6"/>
        </w:tblBorders>
      </w:tblPr>
      <w:tblGrid>
        <w:gridCol w:w="5216"/>
        <w:gridCol w:w="5329"/>
      </w:tblGrid>
      <w:tr>
        <w:trPr>
          <w:tblHeader/>
          <w:cantSplit/>
        </w:trPr>
        <w:tc>
          <w:tcPr>
            <w:tcW w:type="dxa" w:w="5216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6"/>
              </w:rPr>
              <w:t>Réponse recevable</w:t>
            </w:r>
          </w:p>
        </w:tc>
        <w:tc>
          <w:tcPr>
            <w:tcW w:type="dxa" w:w="5329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6"/>
              </w:rPr>
              <w:t>Réponse fautive</w:t>
            </w:r>
          </w:p>
        </w:tc>
      </w:tr>
      <w:tr>
        <w:trPr>
          <w:cantSplit/>
        </w:trPr>
        <w:tc>
          <w:tcPr>
            <w:tcW w:type="dxa" w:w="5216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Vérifier TTC/TTC, poser les 33 colis, puis la journée de pose gagnée (360 € contre 168 €).</w:t>
            </w:r>
          </w:p>
        </w:tc>
        <w:tc>
          <w:tcPr>
            <w:tcW w:type="dxa" w:w="5329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S'aligner à 19,90 € TTC · « ce n'est pas le même produit » sans preuve · comparer son prix HT au prix TTC</w:t>
            </w:r>
          </w:p>
        </w:tc>
      </w:tr>
    </w:tbl>
    <w:p>
      <w:pPr>
        <w:spacing w:before="0" w:after="0" w:line="60" w:lineRule="exact"/>
      </w:pPr>
      <w:r>
        <w:rPr>
          <w:sz w:val="4"/>
        </w:rPr>
      </w:r>
    </w:p>
    <w:p>
      <w:pPr>
        <w:keepNext/>
        <w:pageBreakBefore/>
        <w:spacing w:before="40" w:after="20"/>
      </w:pPr>
      <w:r>
        <w:rPr>
          <w:b/>
          <w:color w:val="B4522C"/>
          <w:sz w:val="15"/>
          <w:spacing w:val="40"/>
        </w:rPr>
        <w:t>CORRIGÉ</w:t>
      </w:r>
    </w:p>
    <w:p>
      <w:pPr>
        <w:pStyle w:val="Heading1"/>
        <w:pBdr>
          <w:bottom w:val="single" w:sz="10" w:space="5" w:color="14384A"/>
        </w:pBdr>
      </w:pPr>
      <w:r>
        <w:t>Variante 2 — l'objection de délai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3D0D6"/>
          <w:left w:val="single" w:sz="4" w:space="0" w:color="C3D0D6"/>
          <w:bottom w:val="single" w:sz="4" w:space="0" w:color="C3D0D6"/>
          <w:right w:val="single" w:sz="4" w:space="0" w:color="C3D0D6"/>
          <w:insideH w:val="single" w:sz="4" w:space="0" w:color="C3D0D6"/>
          <w:insideV w:val="single" w:sz="4" w:space="0" w:color="C3D0D6"/>
        </w:tblBorders>
      </w:tblPr>
      <w:tblGrid>
        <w:gridCol w:w="1587"/>
        <w:gridCol w:w="5669"/>
        <w:gridCol w:w="3288"/>
      </w:tblGrid>
      <w:tr>
        <w:trPr>
          <w:tblHeader/>
          <w:cantSplit/>
        </w:trPr>
        <w:tc>
          <w:tcPr>
            <w:tcW w:type="dxa" w:w="1587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6"/>
              </w:rPr>
              <w:t>Étape</w:t>
            </w:r>
          </w:p>
        </w:tc>
        <w:tc>
          <w:tcPr>
            <w:tcW w:type="dxa" w:w="5669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6"/>
              </w:rPr>
              <w:t>Ce que le vendeur doit dire</w:t>
            </w:r>
          </w:p>
        </w:tc>
        <w:tc>
          <w:tcPr>
            <w:tcW w:type="dxa" w:w="3288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6"/>
              </w:rPr>
              <w:t>Pourquoi</w:t>
            </w:r>
          </w:p>
        </w:tc>
      </w:tr>
      <w:tr>
        <w:trPr>
          <w:cantSplit/>
        </w:trPr>
        <w:tc>
          <w:tcPr>
            <w:tcW w:type="dxa" w:w="158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Accueil</w:t>
            </w:r>
          </w:p>
        </w:tc>
        <w:tc>
          <w:tcPr>
            <w:tcW w:type="dxa" w:w="5669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« Si je ne vous livre pas demain, vous perdez la semaine. Je regarde ce que je peux tenir, pas ce qui m'arrange. »</w:t>
            </w:r>
          </w:p>
        </w:tc>
        <w:tc>
          <w:tcPr>
            <w:tcW w:type="dxa" w:w="3288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Il prend la contrainte au sérieux avant de parler logistique.</w:t>
            </w:r>
          </w:p>
        </w:tc>
      </w:tr>
      <w:tr>
        <w:trPr>
          <w:cantSplit/>
        </w:trPr>
        <w:tc>
          <w:tcPr>
            <w:tcW w:type="dxa" w:w="158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Découverte</w:t>
            </w:r>
          </w:p>
        </w:tc>
        <w:tc>
          <w:tcPr>
            <w:tcW w:type="dxa" w:w="5669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« Votre apprenti est seul sur le chantier ? Il vous faut combien de colis lundi matin pour démarrer ? »</w:t>
            </w:r>
          </w:p>
        </w:tc>
        <w:tc>
          <w:tcPr>
            <w:tcW w:type="dxa" w:w="3288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Il distingue le besoin réel du besoin annoncé.</w:t>
            </w:r>
          </w:p>
        </w:tc>
      </w:tr>
      <w:tr>
        <w:trPr>
          <w:cantSplit/>
        </w:trPr>
        <w:tc>
          <w:tcPr>
            <w:tcW w:type="dxa" w:w="158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Reformulation</w:t>
            </w:r>
          </w:p>
        </w:tc>
        <w:tc>
          <w:tcPr>
            <w:tcW w:type="dxa" w:w="5669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« Donc il vous faut de quoi poser lundi, pas forcément les 33 colis. »</w:t>
            </w:r>
          </w:p>
        </w:tc>
        <w:tc>
          <w:tcPr>
            <w:tcW w:type="dxa" w:w="3288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Le besoin se fractionne : c'est la clé de la variante.</w:t>
            </w:r>
          </w:p>
        </w:tc>
      </w:tr>
      <w:tr>
        <w:trPr>
          <w:cantSplit/>
        </w:trPr>
        <w:tc>
          <w:tcPr>
            <w:tcW w:type="dxa" w:w="158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Argumentation</w:t>
            </w:r>
          </w:p>
        </w:tc>
        <w:tc>
          <w:tcPr>
            <w:tcW w:type="dxa" w:w="5669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« La tournée Elven passe vendredi entre 8 h et 10 h. Je vous mets les 33 colis dessus, c'est tenu. »</w:t>
            </w:r>
          </w:p>
        </w:tc>
        <w:tc>
          <w:tcPr>
            <w:tcW w:type="dxa" w:w="3288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Une solution réelle, vérifiable, avec une heure.</w:t>
            </w:r>
          </w:p>
        </w:tc>
      </w:tr>
      <w:tr>
        <w:trPr>
          <w:cantSplit/>
        </w:trPr>
        <w:tc>
          <w:tcPr>
            <w:tcW w:type="dxa" w:w="158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Objection</w:t>
            </w:r>
          </w:p>
        </w:tc>
        <w:tc>
          <w:tcPr>
            <w:tcW w:type="dxa" w:w="5669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« Demain 7 h, je ne peux pas : pas de tournée le samedi. Vendredi 8 h, ou un express à 90 € HT si c'est bloquant. »</w:t>
            </w:r>
          </w:p>
        </w:tc>
        <w:tc>
          <w:tcPr>
            <w:tcW w:type="dxa" w:w="3288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Il annonce la limite au lieu de la subir, et laisse choisir.</w:t>
            </w:r>
          </w:p>
        </w:tc>
      </w:tr>
      <w:tr>
        <w:trPr>
          <w:cantSplit/>
        </w:trPr>
        <w:tc>
          <w:tcPr>
            <w:tcW w:type="dxa" w:w="158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Conclusion</w:t>
            </w:r>
          </w:p>
        </w:tc>
        <w:tc>
          <w:tcPr>
            <w:tcW w:type="dxa" w:w="5669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« Je vous note vendredi 8 h sur le bon. Si le camion a du retard, je vous appelle avant 7 h. »</w:t>
            </w:r>
          </w:p>
        </w:tc>
        <w:tc>
          <w:tcPr>
            <w:tcW w:type="dxa" w:w="3288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Engagement daté + engagement de prévenance.</w:t>
            </w:r>
          </w:p>
        </w:tc>
      </w:tr>
    </w:tbl>
    <w:p>
      <w:pPr>
        <w:spacing w:before="0" w:after="0" w:line="60" w:lineRule="exact"/>
      </w:pPr>
      <w:r>
        <w:rPr>
          <w:sz w:val="4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3D0D6"/>
          <w:left w:val="single" w:sz="4" w:space="0" w:color="C3D0D6"/>
          <w:bottom w:val="single" w:sz="4" w:space="0" w:color="C3D0D6"/>
          <w:right w:val="single" w:sz="4" w:space="0" w:color="C3D0D6"/>
          <w:insideH w:val="single" w:sz="4" w:space="0" w:color="C3D0D6"/>
          <w:insideV w:val="single" w:sz="4" w:space="0" w:color="C3D0D6"/>
        </w:tblBorders>
      </w:tblPr>
      <w:tblGrid>
        <w:gridCol w:w="5216"/>
        <w:gridCol w:w="5329"/>
      </w:tblGrid>
      <w:tr>
        <w:trPr>
          <w:tblHeader/>
          <w:cantSplit/>
        </w:trPr>
        <w:tc>
          <w:tcPr>
            <w:tcW w:type="dxa" w:w="5216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6"/>
              </w:rPr>
              <w:t>Réponse recevable</w:t>
            </w:r>
          </w:p>
        </w:tc>
        <w:tc>
          <w:tcPr>
            <w:tcW w:type="dxa" w:w="5329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6"/>
              </w:rPr>
              <w:t>Réponse fautive</w:t>
            </w:r>
          </w:p>
        </w:tc>
      </w:tr>
      <w:tr>
        <w:trPr>
          <w:cantSplit/>
        </w:trPr>
        <w:tc>
          <w:tcPr>
            <w:tcW w:type="dxa" w:w="5216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Annoncer la contrainte réelle, proposer vendredi 8 h ou l'express à 90 € HT, faire choisir, écrire la date.</w:t>
            </w:r>
          </w:p>
        </w:tc>
        <w:tc>
          <w:tcPr>
            <w:tcW w:type="dxa" w:w="5329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Promettre « demain matin » · dire « je n'y peux rien » · laisser le client découvrir le retard</w:t>
            </w:r>
          </w:p>
        </w:tc>
      </w:tr>
    </w:tbl>
    <w:p>
      <w:pPr>
        <w:spacing w:before="0" w:after="0" w:line="60" w:lineRule="exact"/>
      </w:pPr>
      <w:r>
        <w:rPr>
          <w:sz w:val="4"/>
        </w:rPr>
      </w:r>
    </w:p>
    <w:p>
      <w:pPr>
        <w:spacing w:after="40" w:before="0"/>
      </w:pPr>
      <w:r>
        <w:rPr>
          <w:b/>
          <w:i w:val="0"/>
          <w:sz w:val="16"/>
        </w:rPr>
        <w:t>Ce que le dépôt peut réellement tenir</w:t>
      </w:r>
      <w:r>
        <w:rPr>
          <w:b w:val="0"/>
          <w:i w:val="0"/>
          <w:sz w:val="16"/>
        </w:rPr>
        <w:t xml:space="preserve"> — le candidat ne doit annoncer que ce qui figure ici.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3D0D6"/>
          <w:left w:val="single" w:sz="4" w:space="0" w:color="C3D0D6"/>
          <w:bottom w:val="single" w:sz="4" w:space="0" w:color="C3D0D6"/>
          <w:right w:val="single" w:sz="4" w:space="0" w:color="C3D0D6"/>
          <w:insideH w:val="single" w:sz="4" w:space="0" w:color="C3D0D6"/>
          <w:insideV w:val="single" w:sz="4" w:space="0" w:color="C3D0D6"/>
        </w:tblBorders>
      </w:tblPr>
      <w:tblGrid>
        <w:gridCol w:w="2381"/>
        <w:gridCol w:w="4762"/>
        <w:gridCol w:w="3742"/>
      </w:tblGrid>
      <w:tr>
        <w:trPr>
          <w:tblHeader/>
          <w:cantSplit/>
        </w:trPr>
        <w:tc>
          <w:tcPr>
            <w:tcW w:type="dxa" w:w="2381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6"/>
              </w:rPr>
              <w:t>Moyen</w:t>
            </w:r>
          </w:p>
        </w:tc>
        <w:tc>
          <w:tcPr>
            <w:tcW w:type="dxa" w:w="4762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6"/>
              </w:rPr>
              <w:t>Ce qu'il permet</w:t>
            </w:r>
          </w:p>
        </w:tc>
        <w:tc>
          <w:tcPr>
            <w:tcW w:type="dxa" w:w="3742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6"/>
              </w:rPr>
              <w:t>Ce qu'il ne permet pas</w:t>
            </w:r>
          </w:p>
        </w:tc>
      </w:tr>
      <w:tr>
        <w:trPr>
          <w:cantSplit/>
        </w:trPr>
        <w:tc>
          <w:tcPr>
            <w:tcW w:type="dxa" w:w="238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Tournée chantier Elven</w:t>
            </w:r>
          </w:p>
        </w:tc>
        <w:tc>
          <w:tcPr>
            <w:tcW w:type="dxa" w:w="4762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 xml:space="preserve">Livraison </w:t>
            </w:r>
            <w:r>
              <w:rPr>
                <w:b/>
                <w:i w:val="0"/>
                <w:sz w:val="16"/>
              </w:rPr>
              <w:t>vendredi entre 8 h et 10 h</w:t>
            </w:r>
          </w:p>
        </w:tc>
        <w:tc>
          <w:tcPr>
            <w:tcW w:type="dxa" w:w="3742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Livrer un samedi, ou avant 8 h</w:t>
            </w:r>
          </w:p>
        </w:tc>
      </w:tr>
      <w:tr>
        <w:trPr>
          <w:cantSplit/>
        </w:trPr>
        <w:tc>
          <w:tcPr>
            <w:tcW w:type="dxa" w:w="2381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Enlèvement au comptoir</w:t>
            </w:r>
          </w:p>
        </w:tc>
        <w:tc>
          <w:tcPr>
            <w:tcW w:type="dxa" w:w="4762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Dès aujourd'hui, du lundi au vendredi, 7 h – 12 h</w:t>
            </w:r>
          </w:p>
        </w:tc>
        <w:tc>
          <w:tcPr>
            <w:tcW w:type="dxa" w:w="3742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Charger sans le camion de l'artisan</w:t>
            </w:r>
          </w:p>
        </w:tc>
      </w:tr>
      <w:tr>
        <w:trPr>
          <w:cantSplit/>
        </w:trPr>
        <w:tc>
          <w:tcPr>
            <w:tcW w:type="dxa" w:w="238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Transporteur express</w:t>
            </w:r>
          </w:p>
        </w:tc>
        <w:tc>
          <w:tcPr>
            <w:tcW w:type="dxa" w:w="4762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 xml:space="preserve">24 h garantie pour </w:t>
            </w:r>
            <w:r>
              <w:rPr>
                <w:b/>
                <w:i w:val="0"/>
                <w:sz w:val="16"/>
              </w:rPr>
              <w:t>90 € HT</w:t>
            </w:r>
            <w:r>
              <w:rPr>
                <w:b w:val="0"/>
                <w:i w:val="0"/>
                <w:sz w:val="16"/>
              </w:rPr>
              <w:t>, commande avant 15 h</w:t>
            </w:r>
          </w:p>
        </w:tc>
        <w:tc>
          <w:tcPr>
            <w:tcW w:type="dxa" w:w="3742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Être offert</w:t>
            </w:r>
          </w:p>
        </w:tc>
      </w:tr>
      <w:tr>
        <w:trPr>
          <w:cantSplit/>
        </w:trPr>
        <w:tc>
          <w:tcPr>
            <w:tcW w:type="dxa" w:w="2381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Stock Vannes</w:t>
            </w:r>
          </w:p>
        </w:tc>
        <w:tc>
          <w:tcPr>
            <w:tcW w:type="dxa" w:w="4762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132 colis</w:t>
            </w:r>
            <w:r>
              <w:rPr>
                <w:b w:val="0"/>
                <w:i w:val="0"/>
                <w:sz w:val="16"/>
              </w:rPr>
              <w:t xml:space="preserve"> de GAL-6060-AR, disponibles</w:t>
            </w:r>
          </w:p>
        </w:tc>
        <w:tc>
          <w:tcPr>
            <w:tcW w:type="dxa" w:w="3742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Dépanner depuis Lorient ou Quimper</w:t>
            </w:r>
          </w:p>
        </w:tc>
      </w:tr>
    </w:tbl>
    <w:p>
      <w:pPr>
        <w:spacing w:before="0" w:after="0" w:line="60" w:lineRule="exact"/>
      </w:pPr>
      <w:r>
        <w:rPr>
          <w:sz w:val="4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tcBorders>
              <w:top w:val="nil"/>
              <w:bottom w:val="nil"/>
              <w:right w:val="nil"/>
              <w:left w:val="single" w:sz="18" w:space="0" w:color="B4522C"/>
            </w:tcBorders>
            <w:shd w:val="clear" w:color="auto" w:fill="FBEFE9"/>
            <w:tcMar>
              <w:top w:w="130" w:type="dxa"/>
              <w:left w:w="190" w:type="dxa"/>
              <w:bottom w:w="130" w:type="dxa"/>
              <w:right w:w="160" w:type="dxa"/>
            </w:tcMar>
          </w:tcPr>
          <w:p>
            <w:pPr>
              <w:spacing w:after="60"/>
            </w:pPr>
            <w:r/>
            <w:r>
              <w:rPr>
                <w:b/>
                <w:color w:val="B4522C"/>
                <w:sz w:val="15"/>
                <w:spacing w:val="30"/>
              </w:rPr>
              <w:t>LE PIÈGE DE CETTE VARIANTE</w:t>
            </w:r>
          </w:p>
          <w:p>
            <w:pPr>
              <w:spacing w:after="40"/>
              <w:ind w:left="198" w:hanging="198"/>
            </w:pPr>
            <w:r>
              <w:rPr>
                <w:b/>
                <w:color w:val="B4522C"/>
                <w:sz w:val="16"/>
              </w:rPr>
              <w:t xml:space="preserve">›  </w:t>
            </w:r>
            <w:r>
              <w:rPr>
                <w:b w:val="0"/>
                <w:i w:val="0"/>
                <w:sz w:val="16"/>
              </w:rPr>
              <w:t xml:space="preserve">Le client dit « il me faut tout, demain matin ». Son vrai besoin est </w:t>
            </w:r>
            <w:r>
              <w:rPr>
                <w:b/>
                <w:i w:val="0"/>
                <w:sz w:val="16"/>
              </w:rPr>
              <w:t>« de quoi démarrer lundi »</w:t>
            </w:r>
            <w:r>
              <w:rPr>
                <w:b w:val="0"/>
                <w:i w:val="0"/>
                <w:sz w:val="16"/>
              </w:rPr>
              <w:t>. Traiter la demande littérale, c'est négocier un problème qui n'existe pas — et promettre l'impossible pour le résoudre.</w:t>
            </w:r>
          </w:p>
          <w:p>
            <w:pPr>
              <w:spacing w:after="40"/>
              <w:ind w:left="198" w:hanging="198"/>
            </w:pPr>
            <w:r>
              <w:rPr>
                <w:b/>
                <w:color w:val="B4522C"/>
                <w:sz w:val="16"/>
              </w:rPr>
              <w:t xml:space="preserve">›  </w:t>
            </w:r>
            <w:r>
              <w:rPr>
                <w:b w:val="0"/>
                <w:i w:val="0"/>
                <w:sz w:val="16"/>
              </w:rPr>
              <w:t xml:space="preserve">La question qui débloque tout : </w:t>
            </w:r>
            <w:r>
              <w:rPr>
                <w:b/>
                <w:i w:val="0"/>
                <w:sz w:val="16"/>
              </w:rPr>
              <w:t>« combien de colis vous faut-il lundi matin pour démarrer ? »</w:t>
            </w:r>
          </w:p>
        </w:tc>
      </w:tr>
    </w:tbl>
    <w:p>
      <w:pPr>
        <w:spacing w:before="0" w:after="0" w:line="60" w:lineRule="exact"/>
      </w:pPr>
      <w:r>
        <w:rPr>
          <w:sz w:val="4"/>
        </w:rPr>
      </w:r>
    </w:p>
    <w:p>
      <w:pPr>
        <w:keepNext/>
        <w:pageBreakBefore/>
        <w:spacing w:before="40" w:after="20"/>
      </w:pPr>
      <w:r>
        <w:rPr>
          <w:b/>
          <w:color w:val="B4522C"/>
          <w:sz w:val="15"/>
          <w:spacing w:val="40"/>
        </w:rPr>
        <w:t>CORRIGÉ</w:t>
      </w:r>
    </w:p>
    <w:p>
      <w:pPr>
        <w:pStyle w:val="Heading1"/>
        <w:pBdr>
          <w:bottom w:val="single" w:sz="10" w:space="5" w:color="14384A"/>
        </w:pBdr>
      </w:pPr>
      <w:r>
        <w:t>Variante 3 — le risque client et le risque affaire</w:t>
      </w:r>
    </w:p>
    <w:p>
      <w:pPr>
        <w:spacing w:after="60" w:before="0"/>
        <w:jc w:val="both"/>
      </w:pPr>
      <w:r>
        <w:rPr>
          <w:b w:val="0"/>
          <w:i w:val="0"/>
          <w:sz w:val="17"/>
        </w:rPr>
        <w:t xml:space="preserve">C'est la variante la plus exigeante : le candidat doit voir </w:t>
      </w:r>
      <w:r>
        <w:rPr>
          <w:b/>
          <w:i w:val="0"/>
          <w:sz w:val="17"/>
        </w:rPr>
        <w:t>deux risques différents</w:t>
      </w:r>
      <w:r>
        <w:rPr>
          <w:b w:val="0"/>
          <w:i w:val="0"/>
          <w:sz w:val="17"/>
        </w:rPr>
        <w:t xml:space="preserve"> que le client ne nomme pas, et sécuriser sans humilier un client de trois ans.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3D0D6"/>
          <w:left w:val="single" w:sz="4" w:space="0" w:color="C3D0D6"/>
          <w:bottom w:val="single" w:sz="4" w:space="0" w:color="C3D0D6"/>
          <w:right w:val="single" w:sz="4" w:space="0" w:color="C3D0D6"/>
          <w:insideH w:val="single" w:sz="4" w:space="0" w:color="C3D0D6"/>
          <w:insideV w:val="single" w:sz="4" w:space="0" w:color="C3D0D6"/>
        </w:tblBorders>
      </w:tblPr>
      <w:tblGrid>
        <w:gridCol w:w="1814"/>
        <w:gridCol w:w="4876"/>
        <w:gridCol w:w="3855"/>
      </w:tblGrid>
      <w:tr>
        <w:trPr>
          <w:tblHeader/>
          <w:cantSplit/>
        </w:trPr>
        <w:tc>
          <w:tcPr>
            <w:tcW w:type="dxa" w:w="1814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6"/>
              </w:rPr>
              <w:t>Risque</w:t>
            </w:r>
          </w:p>
        </w:tc>
        <w:tc>
          <w:tcPr>
            <w:tcW w:type="dxa" w:w="4876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6"/>
              </w:rPr>
              <w:t>Les indices du sujet</w:t>
            </w:r>
          </w:p>
        </w:tc>
        <w:tc>
          <w:tcPr>
            <w:tcW w:type="dxa" w:w="3855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6"/>
              </w:rPr>
              <w:t>Ce qu'il faut faire</w:t>
            </w:r>
          </w:p>
        </w:tc>
      </w:tr>
      <w:tr>
        <w:trPr>
          <w:cantSplit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Risque client</w:t>
            </w:r>
            <w:r>
              <w:rPr>
                <w:b w:val="0"/>
                <w:i w:val="0"/>
                <w:sz w:val="16"/>
              </w:rPr>
              <w:br/>
              <w:t>(impayé)</w:t>
            </w:r>
          </w:p>
        </w:tc>
        <w:tc>
          <w:tcPr>
            <w:tcW w:type="dxa" w:w="4876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 xml:space="preserve">Encours autorisé </w:t>
            </w:r>
            <w:r>
              <w:rPr>
                <w:b/>
                <w:i w:val="0"/>
                <w:sz w:val="16"/>
              </w:rPr>
              <w:t>8 000 €</w:t>
            </w:r>
            <w:r>
              <w:rPr>
                <w:b w:val="0"/>
                <w:i w:val="0"/>
                <w:sz w:val="16"/>
              </w:rPr>
              <w:t xml:space="preserve">, utilisé </w:t>
            </w:r>
            <w:r>
              <w:rPr>
                <w:b/>
                <w:i w:val="0"/>
                <w:sz w:val="16"/>
              </w:rPr>
              <w:t>7 400 €</w:t>
            </w:r>
            <w:r>
              <w:rPr>
                <w:b w:val="0"/>
                <w:i w:val="0"/>
                <w:sz w:val="16"/>
              </w:rPr>
              <w:t xml:space="preserve"> → </w:t>
            </w:r>
            <w:r>
              <w:rPr>
                <w:b/>
                <w:i w:val="0"/>
                <w:sz w:val="16"/>
              </w:rPr>
              <w:t>600 € disponibles</w:t>
            </w:r>
            <w:r>
              <w:rPr>
                <w:b w:val="0"/>
                <w:i w:val="0"/>
                <w:sz w:val="16"/>
              </w:rPr>
              <w:t xml:space="preserve">. Commande de </w:t>
            </w:r>
            <w:r>
              <w:rPr>
                <w:b/>
                <w:i w:val="0"/>
                <w:sz w:val="16"/>
              </w:rPr>
              <w:t>4 012,42 € TTC</w:t>
            </w:r>
            <w:r>
              <w:rPr>
                <w:b w:val="0"/>
                <w:i w:val="0"/>
                <w:sz w:val="16"/>
              </w:rPr>
              <w:t xml:space="preserve">. Il demande </w:t>
            </w:r>
            <w:r>
              <w:rPr>
                <w:b/>
                <w:i w:val="0"/>
                <w:sz w:val="16"/>
              </w:rPr>
              <w:t>45 jours</w:t>
            </w:r>
            <w:r>
              <w:rPr>
                <w:b w:val="0"/>
                <w:i w:val="0"/>
                <w:sz w:val="16"/>
              </w:rPr>
              <w:t xml:space="preserve"> alors qu'il paie à </w:t>
            </w:r>
            <w:r>
              <w:rPr>
                <w:b/>
                <w:i w:val="0"/>
                <w:sz w:val="16"/>
              </w:rPr>
              <w:t>30</w:t>
            </w:r>
            <w:r>
              <w:rPr>
                <w:b w:val="0"/>
                <w:i w:val="0"/>
                <w:sz w:val="16"/>
              </w:rPr>
              <w:t xml:space="preserve"> depuis 3 ans. Il parle de « deux factures à relancer » et d'un chantier de septembre « en attente de paiement ».</w:t>
            </w:r>
          </w:p>
        </w:tc>
        <w:tc>
          <w:tcPr>
            <w:tcW w:type="dxa" w:w="3855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 xml:space="preserve">Vérifier l'encours avant de promettre. Le dépassement est de </w:t>
            </w:r>
            <w:r>
              <w:rPr>
                <w:b/>
                <w:i w:val="0"/>
                <w:sz w:val="16"/>
              </w:rPr>
              <w:t>3 412,42 €</w:t>
            </w:r>
            <w:r>
              <w:rPr>
                <w:b w:val="0"/>
                <w:i w:val="0"/>
                <w:sz w:val="16"/>
              </w:rPr>
              <w:t>. Il faut un accord du chef de dépôt, ou un acompte, ou un fractionnement — pas un « c'est bon ».</w:t>
            </w:r>
          </w:p>
        </w:tc>
      </w:tr>
      <w:tr>
        <w:trPr>
          <w:cantSplit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Risque affaire</w:t>
            </w:r>
            <w:r>
              <w:rPr>
                <w:b w:val="0"/>
                <w:i w:val="0"/>
                <w:sz w:val="16"/>
              </w:rPr>
              <w:br/>
              <w:t>(marge et stock)</w:t>
            </w:r>
          </w:p>
        </w:tc>
        <w:tc>
          <w:tcPr>
            <w:tcW w:type="dxa" w:w="4876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 xml:space="preserve">La ligne </w:t>
            </w:r>
            <w:r>
              <w:rPr>
                <w:b/>
                <w:i w:val="0"/>
                <w:sz w:val="16"/>
              </w:rPr>
              <w:t>60×120</w:t>
            </w:r>
            <w:r>
              <w:rPr>
                <w:b w:val="0"/>
                <w:i w:val="0"/>
                <w:sz w:val="16"/>
              </w:rPr>
              <w:t xml:space="preserve"> est une </w:t>
            </w:r>
            <w:r>
              <w:rPr>
                <w:b/>
                <w:i w:val="0"/>
                <w:sz w:val="16"/>
              </w:rPr>
              <w:t>commande spéciale</w:t>
            </w:r>
            <w:r>
              <w:rPr>
                <w:b w:val="0"/>
                <w:i w:val="0"/>
                <w:sz w:val="16"/>
              </w:rPr>
              <w:t xml:space="preserve"> : 3 semaines, </w:t>
            </w:r>
            <w:r>
              <w:rPr>
                <w:b/>
                <w:i w:val="0"/>
                <w:sz w:val="16"/>
              </w:rPr>
              <w:t>non reprise, non annulable</w:t>
            </w:r>
            <w:r>
              <w:rPr>
                <w:b w:val="0"/>
                <w:i w:val="0"/>
                <w:sz w:val="16"/>
              </w:rPr>
              <w:t xml:space="preserve">, </w:t>
            </w:r>
            <w:r>
              <w:rPr>
                <w:b/>
                <w:i w:val="0"/>
                <w:sz w:val="16"/>
              </w:rPr>
              <w:t>1 008 € HT</w:t>
            </w:r>
            <w:r>
              <w:rPr>
                <w:b w:val="0"/>
                <w:i w:val="0"/>
                <w:sz w:val="16"/>
              </w:rPr>
              <w:t xml:space="preserve"> immobilisés. Et il veut </w:t>
            </w:r>
            <w:r>
              <w:rPr>
                <w:b/>
                <w:i w:val="0"/>
                <w:sz w:val="16"/>
              </w:rPr>
              <w:t>3 palettes</w:t>
            </w:r>
            <w:r>
              <w:rPr>
                <w:b w:val="0"/>
                <w:i w:val="0"/>
                <w:sz w:val="16"/>
              </w:rPr>
              <w:t xml:space="preserve"> alors que son besoin du premier chantier est de 33 colis.</w:t>
            </w:r>
          </w:p>
        </w:tc>
        <w:tc>
          <w:tcPr>
            <w:tcW w:type="dxa" w:w="3855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 xml:space="preserve">Séparer les deux lignes : le 60×60 en stock, livrable normalement ; le 60×120 avec </w:t>
            </w:r>
            <w:r>
              <w:rPr>
                <w:b/>
                <w:i w:val="0"/>
                <w:sz w:val="16"/>
              </w:rPr>
              <w:t>acompte dédié</w:t>
            </w:r>
            <w:r>
              <w:rPr>
                <w:b w:val="0"/>
                <w:i w:val="0"/>
                <w:sz w:val="16"/>
              </w:rPr>
              <w:t xml:space="preserve"> (50 % = 504 € HT) et conditions écrites. Ne jamais engager du non-repris sur un encours tendu.</w:t>
            </w:r>
          </w:p>
        </w:tc>
      </w:tr>
    </w:tbl>
    <w:p>
      <w:pPr>
        <w:spacing w:before="0" w:after="0" w:line="60" w:lineRule="exact"/>
      </w:pPr>
      <w:r>
        <w:rPr>
          <w:sz w:val="4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3D0D6"/>
          <w:left w:val="single" w:sz="4" w:space="0" w:color="C3D0D6"/>
          <w:bottom w:val="single" w:sz="4" w:space="0" w:color="C3D0D6"/>
          <w:right w:val="single" w:sz="4" w:space="0" w:color="C3D0D6"/>
          <w:insideH w:val="single" w:sz="4" w:space="0" w:color="C3D0D6"/>
          <w:insideV w:val="single" w:sz="4" w:space="0" w:color="C3D0D6"/>
        </w:tblBorders>
      </w:tblPr>
      <w:tblGrid>
        <w:gridCol w:w="1814"/>
        <w:gridCol w:w="5329"/>
        <w:gridCol w:w="3855"/>
      </w:tblGrid>
      <w:tr>
        <w:trPr>
          <w:tblHeader/>
          <w:cantSplit/>
        </w:trPr>
        <w:tc>
          <w:tcPr>
            <w:tcW w:type="dxa" w:w="1814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6"/>
              </w:rPr>
              <w:t>Étape</w:t>
            </w:r>
          </w:p>
        </w:tc>
        <w:tc>
          <w:tcPr>
            <w:tcW w:type="dxa" w:w="5329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6"/>
              </w:rPr>
              <w:t>Ce que le vendeur doit dire</w:t>
            </w:r>
          </w:p>
        </w:tc>
        <w:tc>
          <w:tcPr>
            <w:tcW w:type="dxa" w:w="3855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6"/>
              </w:rPr>
              <w:t>Pourquoi</w:t>
            </w:r>
          </w:p>
        </w:tc>
      </w:tr>
      <w:tr>
        <w:trPr>
          <w:cantSplit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Découverte</w:t>
            </w:r>
          </w:p>
        </w:tc>
        <w:tc>
          <w:tcPr>
            <w:tcW w:type="dxa" w:w="5329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« Les 3 palettes, c'est pour deux chantiers ? Vous en êtes où sur le second ? »</w:t>
            </w:r>
          </w:p>
        </w:tc>
        <w:tc>
          <w:tcPr>
            <w:tcW w:type="dxa" w:w="3855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Il fait préciser le besoin avant de valider la quantité.</w:t>
            </w:r>
          </w:p>
        </w:tc>
      </w:tr>
      <w:tr>
        <w:trPr>
          <w:cantSplit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Qualification du risque</w:t>
            </w:r>
          </w:p>
        </w:tc>
        <w:tc>
          <w:tcPr>
            <w:tcW w:type="dxa" w:w="5329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« Votre encours est à 7 400 sur 8 000. Sur cette commande, il faut que je passe par le chef de dépôt. »</w:t>
            </w:r>
          </w:p>
        </w:tc>
        <w:tc>
          <w:tcPr>
            <w:tcW w:type="dxa" w:w="3855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Il annonce la règle sans accuser : c'est le compte, pas la personne.</w:t>
            </w:r>
          </w:p>
        </w:tc>
      </w:tr>
      <w:tr>
        <w:trPr>
          <w:cantSplit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Objection du client</w:t>
            </w:r>
          </w:p>
        </w:tc>
        <w:tc>
          <w:tcPr>
            <w:tcW w:type="dxa" w:w="5329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« Je comprends que 45 jours vous arrange. Sur cette commande, je ne peux pas aller au-delà de 30. »</w:t>
            </w:r>
          </w:p>
        </w:tc>
        <w:tc>
          <w:tcPr>
            <w:tcW w:type="dxa" w:w="3855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Il tient la condition, avec une raison de gestion et non de méfiance.</w:t>
            </w:r>
          </w:p>
        </w:tc>
      </w:tr>
      <w:tr>
        <w:trPr>
          <w:cantSplit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Proposition sécurisée</w:t>
            </w:r>
          </w:p>
        </w:tc>
        <w:tc>
          <w:tcPr>
            <w:tcW w:type="dxa" w:w="5329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« Le 60×60 part vendredi sur votre encours habituel. Pour le 60×120, il me faut un acompte de 504 € — c'est une commande qui ne se revend pas. »</w:t>
            </w:r>
          </w:p>
        </w:tc>
        <w:tc>
          <w:tcPr>
            <w:tcW w:type="dxa" w:w="3855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Deux lignes, deux traitements : le client garde son chantier, le dépôt ne porte pas le risque seul.</w:t>
            </w:r>
          </w:p>
        </w:tc>
      </w:tr>
      <w:tr>
        <w:trPr>
          <w:cantSplit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Conclusion</w:t>
            </w:r>
          </w:p>
        </w:tc>
        <w:tc>
          <w:tcPr>
            <w:tcW w:type="dxa" w:w="5329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« Je vous prépare deux bons séparés. Vous validez l'acompte aujourd'hui et je lance la commande spéciale. »</w:t>
            </w:r>
          </w:p>
        </w:tc>
        <w:tc>
          <w:tcPr>
            <w:tcW w:type="dxa" w:w="3855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Un engagement daté sur chaque ligne.</w:t>
            </w:r>
          </w:p>
        </w:tc>
      </w:tr>
    </w:tbl>
    <w:p>
      <w:pPr>
        <w:spacing w:before="0" w:after="0" w:line="60" w:lineRule="exact"/>
      </w:pPr>
      <w:r>
        <w:rPr>
          <w:sz w:val="4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3D0D6"/>
          <w:left w:val="single" w:sz="4" w:space="0" w:color="C3D0D6"/>
          <w:bottom w:val="single" w:sz="4" w:space="0" w:color="C3D0D6"/>
          <w:right w:val="single" w:sz="4" w:space="0" w:color="C3D0D6"/>
          <w:insideH w:val="single" w:sz="4" w:space="0" w:color="C3D0D6"/>
          <w:insideV w:val="single" w:sz="4" w:space="0" w:color="C3D0D6"/>
        </w:tblBorders>
      </w:tblPr>
      <w:tblGrid>
        <w:gridCol w:w="5216"/>
        <w:gridCol w:w="5329"/>
      </w:tblGrid>
      <w:tr>
        <w:trPr>
          <w:tblHeader/>
          <w:cantSplit/>
        </w:trPr>
        <w:tc>
          <w:tcPr>
            <w:tcW w:type="dxa" w:w="5216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6"/>
              </w:rPr>
              <w:t>Réponse recevable</w:t>
            </w:r>
          </w:p>
        </w:tc>
        <w:tc>
          <w:tcPr>
            <w:tcW w:type="dxa" w:w="5329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6"/>
              </w:rPr>
              <w:t>Réponse fautive</w:t>
            </w:r>
          </w:p>
        </w:tc>
      </w:tr>
      <w:tr>
        <w:trPr>
          <w:cantSplit/>
        </w:trPr>
        <w:tc>
          <w:tcPr>
            <w:tcW w:type="dxa" w:w="5216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Vérifier l'encours, nommer le dépassement, séparer le stock du sur-mesure, exiger un acompte sur le non-repris, faire valider par le chef de dépôt.</w:t>
            </w:r>
          </w:p>
        </w:tc>
        <w:tc>
          <w:tcPr>
            <w:tcW w:type="dxa" w:w="5329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Accepter 45 jours sans vérifier · engager 1 008 € de non-repris sur un encours tendu · refuser sèchement · mélanger les deux lignes sur un seul bon</w:t>
            </w:r>
          </w:p>
        </w:tc>
      </w:tr>
    </w:tbl>
    <w:p>
      <w:pPr>
        <w:spacing w:before="0" w:after="0" w:line="60" w:lineRule="exact"/>
      </w:pPr>
      <w:r>
        <w:rPr>
          <w:sz w:val="4"/>
        </w:rPr>
      </w:r>
    </w:p>
    <w:p>
      <w:pPr>
        <w:pStyle w:val="Heading1"/>
        <w:pageBreakBefore/>
        <w:pBdr>
          <w:bottom w:val="single" w:sz="10" w:space="5" w:color="14384A"/>
        </w:pBdr>
      </w:pPr>
      <w:r>
        <w:t>Les fautes à sanctionner et la remédiation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tcBorders>
              <w:top w:val="nil"/>
              <w:bottom w:val="nil"/>
              <w:right w:val="nil"/>
              <w:left w:val="single" w:sz="18" w:space="0" w:color="B4522C"/>
            </w:tcBorders>
            <w:shd w:val="clear" w:color="auto" w:fill="FBEFE9"/>
            <w:tcMar>
              <w:top w:w="130" w:type="dxa"/>
              <w:left w:w="190" w:type="dxa"/>
              <w:bottom w:w="130" w:type="dxa"/>
              <w:right w:w="160" w:type="dxa"/>
            </w:tcMar>
          </w:tcPr>
          <w:p>
            <w:pPr>
              <w:spacing w:after="60"/>
            </w:pPr>
            <w:r/>
            <w:r>
              <w:rPr>
                <w:b/>
                <w:color w:val="B4522C"/>
                <w:sz w:val="15"/>
                <w:spacing w:val="30"/>
              </w:rPr>
              <w:t>LES TROIS FAUTES QUI COÛTENT LE PLUS</w:t>
            </w:r>
          </w:p>
          <w:p>
            <w:pPr>
              <w:spacing w:after="40"/>
              <w:ind w:left="198" w:hanging="198"/>
            </w:pPr>
            <w:r>
              <w:rPr>
                <w:b/>
                <w:color w:val="B4522C"/>
                <w:sz w:val="16"/>
              </w:rPr>
              <w:t xml:space="preserve">›  </w:t>
            </w:r>
            <w:r>
              <w:rPr>
                <w:b/>
                <w:i w:val="0"/>
                <w:sz w:val="16"/>
              </w:rPr>
              <w:t>Comparer un prix HT à un prix TTC</w:t>
            </w:r>
            <w:r>
              <w:rPr>
                <w:b w:val="0"/>
                <w:i w:val="0"/>
                <w:sz w:val="16"/>
              </w:rPr>
              <w:t xml:space="preserve"> : c'est l'erreur n° 1 au comptoir. Note plafonnée à 10/20.</w:t>
            </w:r>
          </w:p>
          <w:p>
            <w:pPr>
              <w:spacing w:after="40"/>
              <w:ind w:left="198" w:hanging="198"/>
            </w:pPr>
            <w:r>
              <w:rPr>
                <w:b/>
                <w:color w:val="B4522C"/>
                <w:sz w:val="16"/>
              </w:rPr>
              <w:t xml:space="preserve">›  </w:t>
            </w:r>
            <w:r>
              <w:rPr>
                <w:b/>
                <w:i w:val="0"/>
                <w:sz w:val="16"/>
              </w:rPr>
              <w:t>S'aligner sur le concurrent</w:t>
            </w:r>
            <w:r>
              <w:rPr>
                <w:b w:val="0"/>
                <w:i w:val="0"/>
                <w:sz w:val="16"/>
              </w:rPr>
              <w:t xml:space="preserve"> : la remise maximale est de 3 %, elle ne permet pas d'atteindre 19,90 € TTC. Une promesse d'alignement est une faute, pas une maladresse.</w:t>
            </w:r>
          </w:p>
          <w:p>
            <w:pPr>
              <w:spacing w:after="40"/>
              <w:ind w:left="198" w:hanging="198"/>
            </w:pPr>
            <w:r>
              <w:rPr>
                <w:b/>
                <w:color w:val="B4522C"/>
                <w:sz w:val="16"/>
              </w:rPr>
              <w:t xml:space="preserve">›  </w:t>
            </w:r>
            <w:r>
              <w:rPr>
                <w:b/>
                <w:i w:val="0"/>
                <w:sz w:val="16"/>
              </w:rPr>
              <w:t>Répondre avant d'avoir demandé la surface</w:t>
            </w:r>
            <w:r>
              <w:rPr>
                <w:b w:val="0"/>
                <w:i w:val="0"/>
                <w:sz w:val="16"/>
              </w:rPr>
              <w:t xml:space="preserve"> : sans les 10 % de chutes, tout le calcul est faux, et le client le verra.</w:t>
            </w:r>
          </w:p>
        </w:tc>
      </w:tr>
    </w:tbl>
    <w:p>
      <w:pPr>
        <w:spacing w:before="0" w:after="0" w:line="60" w:lineRule="exact"/>
      </w:pPr>
      <w:r>
        <w:rPr>
          <w:sz w:val="4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tcBorders>
              <w:top w:val="nil"/>
              <w:bottom w:val="nil"/>
              <w:right w:val="nil"/>
              <w:left w:val="single" w:sz="18" w:space="0" w:color="14384A"/>
            </w:tcBorders>
            <w:shd w:val="clear" w:color="auto" w:fill="EEF3F5"/>
            <w:tcMar>
              <w:top w:w="130" w:type="dxa"/>
              <w:left w:w="190" w:type="dxa"/>
              <w:bottom w:w="130" w:type="dxa"/>
              <w:right w:w="160" w:type="dxa"/>
            </w:tcMar>
          </w:tcPr>
          <w:p>
            <w:pPr>
              <w:spacing w:after="60"/>
            </w:pPr>
            <w:r/>
            <w:r>
              <w:rPr>
                <w:b/>
                <w:color w:val="14384A"/>
                <w:sz w:val="15"/>
                <w:spacing w:val="30"/>
              </w:rPr>
              <w:t>EN VARIANTE 3, DEUX POINTS SPÉCIFIQUES</w:t>
            </w:r>
          </w:p>
          <w:p>
            <w:pPr>
              <w:spacing w:after="40"/>
              <w:ind w:left="198" w:hanging="198"/>
            </w:pPr>
            <w:r>
              <w:rPr>
                <w:b/>
                <w:color w:val="14384A"/>
                <w:sz w:val="16"/>
              </w:rPr>
              <w:t xml:space="preserve">›  </w:t>
            </w:r>
            <w:r>
              <w:rPr>
                <w:b/>
                <w:i w:val="0"/>
                <w:sz w:val="16"/>
              </w:rPr>
              <w:t>Ne pas confondre les deux risques.</w:t>
            </w:r>
            <w:r>
              <w:rPr>
                <w:b w:val="0"/>
                <w:i w:val="0"/>
                <w:sz w:val="16"/>
              </w:rPr>
              <w:t xml:space="preserve"> Le risque client est un risque de paiement (encours, délai, factures à relancer). Le risque affaire est un risque de marge et de stock (commande spéciale non reprise, quantité engagée). Un candidat qui n'en voit qu'un plafonne à 12/20.</w:t>
            </w:r>
          </w:p>
          <w:p>
            <w:pPr>
              <w:spacing w:after="40"/>
              <w:ind w:left="198" w:hanging="198"/>
            </w:pPr>
            <w:r>
              <w:rPr>
                <w:b/>
                <w:color w:val="14384A"/>
                <w:sz w:val="16"/>
              </w:rPr>
              <w:t xml:space="preserve">›  </w:t>
            </w:r>
            <w:r>
              <w:rPr>
                <w:b/>
                <w:i w:val="0"/>
                <w:sz w:val="16"/>
              </w:rPr>
              <w:t>Sécuriser sans humilier.</w:t>
            </w:r>
            <w:r>
              <w:rPr>
                <w:b w:val="0"/>
                <w:i w:val="0"/>
                <w:sz w:val="16"/>
              </w:rPr>
              <w:t xml:space="preserve"> Un client de trois ans à qui on dit « vous ne payez pas » ne revient pas. La formulation attendue porte sur le compte et la règle, jamais sur la personne.</w:t>
            </w:r>
          </w:p>
        </w:tc>
      </w:tr>
    </w:tbl>
    <w:p>
      <w:pPr>
        <w:spacing w:before="0" w:after="0" w:line="60" w:lineRule="exact"/>
      </w:pPr>
      <w:r>
        <w:rPr>
          <w:sz w:val="4"/>
        </w:rPr>
      </w:r>
    </w:p>
    <w:p>
      <w:pPr>
        <w:pStyle w:val="Heading2"/>
      </w:pPr>
      <w:r>
        <w:t>Après l'entretien — remédiation immédiate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3D0D6"/>
          <w:left w:val="single" w:sz="4" w:space="0" w:color="C3D0D6"/>
          <w:bottom w:val="single" w:sz="4" w:space="0" w:color="C3D0D6"/>
          <w:right w:val="single" w:sz="4" w:space="0" w:color="C3D0D6"/>
          <w:insideH w:val="single" w:sz="4" w:space="0" w:color="C3D0D6"/>
          <w:insideV w:val="single" w:sz="4" w:space="0" w:color="C3D0D6"/>
        </w:tblBorders>
      </w:tblPr>
      <w:tblGrid>
        <w:gridCol w:w="2608"/>
        <w:gridCol w:w="7597"/>
      </w:tblGrid>
      <w:tr>
        <w:trPr>
          <w:tblHeader/>
          <w:cantSplit/>
        </w:trPr>
        <w:tc>
          <w:tcPr>
            <w:tcW w:type="dxa" w:w="2608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6"/>
              </w:rPr>
              <w:t>Si le point faible est…</w:t>
            </w:r>
          </w:p>
        </w:tc>
        <w:tc>
          <w:tcPr>
            <w:tcW w:type="dxa" w:w="7597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6"/>
              </w:rPr>
              <w:t>Faire refaire, tout de suite, à l'oral</w:t>
            </w:r>
          </w:p>
        </w:tc>
      </w:tr>
      <w:tr>
        <w:trPr>
          <w:cantSplit/>
        </w:trPr>
        <w:tc>
          <w:tcPr>
            <w:tcW w:type="dxa" w:w="2608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Le calcul</w:t>
            </w:r>
          </w:p>
        </w:tc>
        <w:tc>
          <w:tcPr>
            <w:tcW w:type="dxa" w:w="759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Reprendre 28 m² et refaire les quatre chiffres sans notes, jusqu'à ce qu'ils soient justes</w:t>
            </w:r>
          </w:p>
        </w:tc>
      </w:tr>
      <w:tr>
        <w:trPr>
          <w:cantSplit/>
        </w:trPr>
        <w:tc>
          <w:tcPr>
            <w:tcW w:type="dxa" w:w="2608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La comparaison HT / TTC</w:t>
            </w:r>
          </w:p>
        </w:tc>
        <w:tc>
          <w:tcPr>
            <w:tcW w:type="dxa" w:w="759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Trois conversions à voix haute : 19,90 TTC → 16,58 HT · 19,35 HT → 23,22 TTC · 21,50 HT → 25,80 TTC</w:t>
            </w:r>
          </w:p>
        </w:tc>
      </w:tr>
      <w:tr>
        <w:trPr>
          <w:cantSplit/>
        </w:trPr>
        <w:tc>
          <w:tcPr>
            <w:tcW w:type="dxa" w:w="2608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L'argumentation</w:t>
            </w:r>
          </w:p>
        </w:tc>
        <w:tc>
          <w:tcPr>
            <w:tcW w:type="dxa" w:w="759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Une caractéristique, trois avantages différents pour trois clients différents</w:t>
            </w:r>
          </w:p>
        </w:tc>
      </w:tr>
      <w:tr>
        <w:trPr>
          <w:cantSplit/>
        </w:trPr>
        <w:tc>
          <w:tcPr>
            <w:tcW w:type="dxa" w:w="2608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La conclusion</w:t>
            </w:r>
          </w:p>
        </w:tc>
        <w:tc>
          <w:tcPr>
            <w:tcW w:type="dxa" w:w="759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Trois clôtures chronométrées en trente secondes, sans notes</w:t>
            </w:r>
          </w:p>
        </w:tc>
      </w:tr>
    </w:tbl>
    <w:p>
      <w:pPr>
        <w:spacing w:before="0" w:after="0" w:line="60" w:lineRule="exact"/>
      </w:pPr>
      <w:r>
        <w:rPr>
          <w:sz w:val="4"/>
        </w:rPr>
      </w:r>
    </w:p>
    <w:p>
      <w:pPr>
        <w:pStyle w:val="Heading3"/>
      </w:pPr>
      <w:r>
        <w:t>Retour à formuler au candidat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cantSplit/>
          <w:trHeight w:val="453" w:hRule="exact"/>
        </w:trPr>
        <w:tc>
          <w:tcPr>
            <w:tcW w:type="dxa" w:w="9638"/>
            <w:tcMar>
              <w:top w:w="20" w:type="dxa"/>
              <w:left w:w="90" w:type="dxa"/>
              <w:bottom w:w="20" w:type="dxa"/>
              <w:right w:w="90" w:type="dxa"/>
            </w:tcMar>
            <w:tcBorders>
              <w:bottom w:val="single" w:sz="4" w:space="0" w:color="D8E2E6"/>
            </w:tcBorders>
          </w:tcPr>
          <w:p>
            <w:r/>
          </w:p>
        </w:tc>
      </w:tr>
      <w:tr>
        <w:trPr>
          <w:cantSplit/>
          <w:trHeight w:val="453" w:hRule="exact"/>
        </w:trPr>
        <w:tc>
          <w:tcPr>
            <w:tcW w:type="dxa" w:w="9638"/>
            <w:tcMar>
              <w:top w:w="20" w:type="dxa"/>
              <w:left w:w="90" w:type="dxa"/>
              <w:bottom w:w="20" w:type="dxa"/>
              <w:right w:w="90" w:type="dxa"/>
            </w:tcMar>
            <w:tcBorders>
              <w:bottom w:val="single" w:sz="4" w:space="0" w:color="D8E2E6"/>
            </w:tcBorders>
          </w:tcPr>
          <w:p>
            <w:r/>
          </w:p>
        </w:tc>
      </w:tr>
      <w:tr>
        <w:trPr>
          <w:cantSplit/>
          <w:trHeight w:val="453" w:hRule="exact"/>
        </w:trPr>
        <w:tc>
          <w:tcPr>
            <w:tcW w:type="dxa" w:w="9638"/>
            <w:tcMar>
              <w:top w:w="20" w:type="dxa"/>
              <w:left w:w="90" w:type="dxa"/>
              <w:bottom w:w="20" w:type="dxa"/>
              <w:right w:w="90" w:type="dxa"/>
            </w:tcMar>
            <w:tcBorders>
              <w:bottom w:val="single" w:sz="4" w:space="0" w:color="D8E2E6"/>
            </w:tcBorders>
          </w:tcPr>
          <w:p>
            <w:r/>
          </w:p>
        </w:tc>
      </w:tr>
    </w:tbl>
    <w:p>
      <w:pPr>
        <w:spacing w:after="120"/>
      </w:pPr>
      <w:r>
        <w:rPr>
          <w:b w:val="0"/>
          <w:i/>
          <w:color w:val="6B7C85"/>
          <w:sz w:val="15"/>
        </w:rPr>
        <w:t>Une force observée · un chiffre à corriger · une phrase à retravailler avant le passage suivant.</w:t>
      </w:r>
    </w:p>
    <w:sectPr w:rsidR="00FC693F" w:rsidRPr="0006063C" w:rsidSect="00034616">
      <w:footerReference w:type="default" r:id="rId9"/>
      <w:pgSz w:w="11906" w:h="16838"/>
      <w:pgMar w:top="765" w:right="850" w:bottom="680" w:left="850" w:header="51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751" w:val="right"/>
      </w:tabs>
      <w:pBdr>
        <w:bottom w:val="single" w:sz="4" w:space="2" w:color="D5DFE3"/>
      </w:pBdr>
    </w:pPr>
    <w:r/>
    <w:r>
      <w:rPr>
        <w:color w:val="7A8B94"/>
        <w:sz w:val="15"/>
      </w:rPr>
      <w:t>BTS CCST · E5 Situation 2 · Cas 1 carrelage · corrigé formateur</w:t>
    </w:r>
    <w:r>
      <w:rPr>
        <w:color w:val="7A8B94"/>
        <w:sz w:val="15"/>
      </w:rPr>
      <w:tab/>
      <w:t xml:space="preserve">page </w:t>
    </w:r>
    <w:r>
      <w:rPr>
        <w:color w:val="7A8B94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color w:val="7A8B94"/>
        <w:sz w:val="15"/>
      </w:rPr>
      <w:t xml:space="preserve"> / </w:t>
    </w:r>
    <w:r>
      <w:rPr>
        <w:color w:val="7A8B94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Calibri" w:hAnsi="Calibri" w:cs="Calibri"/>
      <w:color w:val="3C4A52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60" w:after="180"/>
      <w:outlineLvl w:val="0"/>
    </w:pPr>
    <w:rPr>
      <w:rFonts w:asciiTheme="majorHAnsi" w:eastAsiaTheme="majorEastAsia" w:hAnsiTheme="majorHAnsi" w:cstheme="majorBidi" w:ascii="Calibri" w:hAnsi="Calibri"/>
      <w:b/>
      <w:bCs/>
      <w:color w:val="14384A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14384A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60"/>
      <w:outlineLvl w:val="2"/>
    </w:pPr>
    <w:rPr>
      <w:rFonts w:asciiTheme="majorHAnsi" w:eastAsiaTheme="majorEastAsia" w:hAnsiTheme="majorHAnsi" w:cstheme="majorBidi" w:ascii="Calibri" w:hAnsi="Calibri"/>
      <w:b/>
      <w:bCs/>
      <w:color w:val="B4522C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